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Metcalf, Leach, Noble, Hull,</w:t>
      </w:r>
      <w:r xml:space="preserve">
        <w:tab wTab="150" tlc="none" cTlc="0"/>
      </w:r>
      <w:r>
        <w:t xml:space="preserve">H.B.</w:t>
      </w:r>
      <w:r xml:space="preserve">
        <w:t> </w:t>
      </w:r>
      <w:r>
        <w:t xml:space="preserve">No.</w:t>
      </w:r>
      <w:r xml:space="preserve">
        <w:t> </w:t>
      </w:r>
      <w:r>
        <w:t xml:space="preserve">5138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all information requested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(a) </w:t>
      </w:r>
      <w:r>
        <w:rPr>
          <w:u w:val="single"/>
        </w:rPr>
        <w:t xml:space="preserve"> </w:t>
      </w:r>
      <w:r>
        <w:rPr>
          <w:u w:val="single"/>
        </w:rPr>
        <w:t xml:space="preserve">Notwithstanding any other law, the attorney general has jurisdiction to prosecute and shall represent the state in the prosecution of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taken prosecutorial action to prosecute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may file a motion in a district court objecting to the attorney general's representation of the state under Subsection (a) in the prosecution of a criminal offense described by Section 402.101. In response to a motion filed under this subsection,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finding as to whether the local prosecuting attorney has taken prosecutorial action to prosecute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finds the local prosecuting attorney has not taken prosecutorial action to prosecute the offense, issue an order stating the attorney general shall represent the state in the prosecution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w:t>
      </w:r>
      <w:r>
        <w:t xml:space="preserve">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