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89R22374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5148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5148:</w:t>
      </w: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C.S.H.B.</w:t>
      </w:r>
      <w:r xml:space="preserve">
        <w:t> </w:t>
      </w:r>
      <w:r>
        <w:t xml:space="preserve">No.</w:t>
      </w:r>
      <w:r xml:space="preserve">
        <w:t> </w:t>
      </w:r>
      <w:r>
        <w:t xml:space="preserve">5148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regulation of stairway requirements in certain multifamily residential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214, Local Government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SINGLE STAIRWAY IN CERTAIN MULTIFAMILY RESIDENTIAL BUILDINGS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214.301.</w:t>
      </w:r>
      <w:r>
        <w:rPr>
          <w:u w:val="single"/>
        </w:rPr>
        <w:t xml:space="preserve"> </w:t>
      </w:r>
      <w:r>
        <w:rPr>
          <w:u w:val="single"/>
        </w:rPr>
        <w:t xml:space="preserve"> </w:t>
      </w:r>
      <w:r>
        <w:rPr>
          <w:u w:val="single"/>
        </w:rPr>
        <w:t xml:space="preserve">DEFINITION.  In this subchapter, "multifamily residential building" means a residential building with a Group R-2 occupancy under the International Building Code as adopted under Section 214.216.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214.302.</w:t>
      </w:r>
      <w:r>
        <w:rPr>
          <w:u w:val="single"/>
        </w:rPr>
        <w:t xml:space="preserve"> </w:t>
      </w:r>
      <w:r>
        <w:rPr>
          <w:u w:val="single"/>
        </w:rPr>
        <w:t xml:space="preserve"> </w:t>
      </w:r>
      <w:r>
        <w:rPr>
          <w:u w:val="single"/>
        </w:rPr>
        <w:t xml:space="preserve">APPLICABILITY OF SUBCHAPTER.  This subchapter applies only to a municipality that has a fire department that employs firefighters who have met the requirements for certification by the Texas Commission on Fire Protection under Chapter 419,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214.303.</w:t>
      </w:r>
      <w:r>
        <w:rPr>
          <w:u w:val="single"/>
        </w:rPr>
        <w:t xml:space="preserve"> </w:t>
      </w:r>
      <w:r>
        <w:rPr>
          <w:u w:val="single"/>
        </w:rPr>
        <w:t xml:space="preserve"> </w:t>
      </w:r>
      <w:r>
        <w:rPr>
          <w:u w:val="single"/>
        </w:rPr>
        <w:t xml:space="preserve">CERTAIN STAIRWAY REQUIREMENTS PROHIBITED.  (a) </w:t>
      </w:r>
      <w:r>
        <w:rPr>
          <w:u w:val="single"/>
        </w:rPr>
        <w:t xml:space="preserve"> </w:t>
      </w:r>
      <w:r>
        <w:rPr>
          <w:u w:val="single"/>
        </w:rPr>
        <w:t xml:space="preserve">Notwithstanding any other law, a municipality may not adopt or enforce an ordinance, rule, or other regulation requiring a multifamily residential building to have more than one stairway if the building meets all other applicable provisions of the adopted local building codes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more than six stories above grade plane and is not a high-rise as defined by the International Building Code, as adopted under Section 214.216;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automatic sprinkler locations in each interior exit stairway, regardless of the type of stairway construction, that comply with the requirements prescribed by National Fire Protection Association Standard 13 for combustible stairways;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exterior stairway;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interior exit stairway for which the doors: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into the stairway from the interior of the building swing into the stairway regardless of the occupant load served;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from the interior exit stairway to the building exterior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that have a fire resistance rating of not less than two hours;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does not have more than 20 feet between the entry or exit door of a dwelling unit and an exit stairway;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does not have more than 125 feet of exit access travel distance;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portion of the building with a Group R-2 occupancy under the International Building Code as adopted under Section 214.216 that does not discharge through a portion of the building with a different occupancy category,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that comply with Section 1031 of the International Building Code as adopted under Section 214.216 on each floor served by a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does not have an electrical receptacle in an interior exit stairway;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an automatic smoke and fire detection system that activates an occupant notification system that complies with Section 907.5 of the International Building Code as adopted under Section 214.216 installed in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 outside of a dwelling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 mechanical equipment room, and storage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interior corridor serving a dwelling unit;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 floor landing or interior or exterior exit stairway.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municipality from adopting an ordinance, rule, or other regulation that authorizes a single stairway for a multifamily residential building that does not comply with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214.304.</w:t>
      </w:r>
      <w:r>
        <w:rPr>
          <w:u w:val="single"/>
        </w:rPr>
        <w:t xml:space="preserve"> </w:t>
      </w:r>
      <w:r>
        <w:rPr>
          <w:u w:val="single"/>
        </w:rPr>
        <w:t xml:space="preserve"> </w:t>
      </w:r>
      <w:r>
        <w:rPr>
          <w:u w:val="single"/>
        </w:rPr>
        <w:t xml:space="preserve">NO EFFECT ON PROPERTY OWNERS' ASSOCIATIONS AND OTHER PRIVATE AGREEMENTS. </w:t>
      </w:r>
      <w:r>
        <w:rPr>
          <w:u w:val="single"/>
        </w:rPr>
        <w:t xml:space="preserve"> </w:t>
      </w:r>
      <w:r>
        <w:rPr>
          <w:u w:val="single"/>
        </w:rPr>
        <w:t xml:space="preserve">This subchapter does not prohibit a property owner from enforcing rules or deed restrictions imposed by a property owners' association or by other private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214.305.</w:t>
      </w:r>
      <w:r>
        <w:rPr>
          <w:u w:val="single"/>
        </w:rPr>
        <w:t xml:space="preserve"> </w:t>
      </w:r>
      <w:r>
        <w:rPr>
          <w:u w:val="single"/>
        </w:rPr>
        <w:t xml:space="preserve"> </w:t>
      </w:r>
      <w:r>
        <w:rPr>
          <w:u w:val="single"/>
        </w:rPr>
        <w:t xml:space="preserve">AUTHORIZED REGULATION.  Except as provided by this subchapter, a municipality's height limitations, front setback requirements, site plan review requirements, and other zoning requirements that generally apply to the construction of a multifamily residential building in the area in which the building is built apply to a multifamily residential building described by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