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Wilson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5154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reporting of the Joint Admission Medical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V, Chapter 51, Education Code, is amended by amending Section 51.834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51.834.</w:t>
      </w:r>
      <w:r xml:space="preserve">
        <w:t> </w:t>
      </w:r>
      <w:r xml:space="preserve">
        <w:t> </w:t>
      </w:r>
      <w:r>
        <w:t xml:space="preserve">REPORT.  (a) </w:t>
      </w:r>
      <w:r>
        <w:t xml:space="preserve"> </w:t>
      </w:r>
      <w:r>
        <w:t xml:space="preserve">The council shall deliver a report on the program to the governor, the lieutenant governor, and the speaker of the house of representatives not later than December 31 of each even-numbered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report must contain detailed information regarding: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any problems the council identifies in implementing the program, with recommended solutions for those problems;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expenditure of any money received under this subchapter, including legislative appropriations;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number of students who are admitted to the program and who are enrolled in each year of a baccalaureate, graduate, or professional degree program offered by a general academic teaching institution, a private or independent institution of higher education, or a participating medical </w:t>
      </w:r>
      <w:r>
        <w:t xml:space="preserve">school, as applicable</w:t>
      </w:r>
      <w:r>
        <w:rPr>
          <w:u w:val="single"/>
        </w:rPr>
        <w:t xml:space="preserve">;</w:t>
      </w:r>
      <w:r>
        <w:t xml:space="preserve"> [</w:t>
      </w:r>
      <w:r>
        <w:rPr>
          <w:strike/>
        </w:rPr>
        <w:t xml:space="preserve">.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number of students who are dismissed, terminated, placed on probation, or otherwise withdrawn from the program by the council or voluntary decision who were enrolled in each year of a baccalaureate, graduate, or professional degree program offered by a general academic teaching institution, a private or independent institution of higher education, or a participating medical school, as applicable;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expenditure for graduate scholarships awarded to participating medical students; including the amount per student and any need to maintain the ending balance in lieu of reallocation to medical school scholarship recipients.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5154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