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Capriglione</w:t>
      </w:r>
      <w:r xml:space="preserve">
        <w:tab wTab="150" tlc="none" cTlc="0"/>
      </w:r>
      <w:r>
        <w:t xml:space="preserve">H.B.</w:t>
      </w:r>
      <w:r xml:space="preserve">
        <w:t> </w:t>
      </w:r>
      <w:r>
        <w:t xml:space="preserve">No.</w:t>
      </w:r>
      <w:r xml:space="preserve">
        <w:t> </w:t>
      </w:r>
      <w:r>
        <w:t xml:space="preserve">5195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modernization of state agency Internet websites and digital services.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2054, Government Code, is amended by adding Subchapter S to read as follows:</w:t>
      </w:r>
    </w:p>
    <w:p w:rsidR="003F3435" w:rsidRDefault="0032493E">
      <w:pPr>
        <w:spacing w:line="480" w:lineRule="auto"/>
        <w:jc w:val="center"/>
      </w:pPr>
      <w:r>
        <w:rPr>
          <w:u w:val="single"/>
        </w:rPr>
        <w:t xml:space="preserve">SUBCHAPTER S.  MODERNIZATION OF STATE AGENCY INTERNET WEBSITES AND DIGITAL SERVICES</w:t>
      </w:r>
    </w:p>
    <w:p w:rsidR="003F3435" w:rsidRDefault="0032493E">
      <w:pPr>
        <w:spacing w:line="480" w:lineRule="auto"/>
        <w:ind w:firstLine="720"/>
        <w:jc w:val="both"/>
      </w:pPr>
      <w:r>
        <w:rPr>
          <w:u w:val="single"/>
        </w:rPr>
        <w:t xml:space="preserve">Sec.</w:t>
      </w:r>
      <w:r>
        <w:rPr>
          <w:u w:val="single"/>
        </w:rPr>
        <w:t xml:space="preserve"> </w:t>
      </w:r>
      <w:r>
        <w:rPr>
          <w:u w:val="single"/>
        </w:rPr>
        <w:t xml:space="preserve">2054.651.</w:t>
      </w:r>
      <w:r>
        <w:rPr>
          <w:u w:val="single"/>
        </w:rPr>
        <w:t xml:space="preserve"> </w:t>
      </w:r>
      <w:r>
        <w:rPr>
          <w:u w:val="single"/>
        </w:rPr>
        <w:t xml:space="preserve"> </w:t>
      </w:r>
      <w:r>
        <w:rPr>
          <w:u w:val="single"/>
        </w:rPr>
        <w:t xml:space="preserve">STATE AGENCY DIGITAL MODERNIZATION.  Each state agency shall assess the agency's Internet website and online service portals to identify areas for improvement in user accessibility, navigation, and digital service efficiency.  In performing the assessment, a state agency shall consider: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strategies to simplify user access to forms, applications, and agency services;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opportunities to reduce or eliminate paperwork requirements if electronic alternatives exist;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enhancements to ensure compliance with accessibility standards under Subchapter M;</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using responsive web design to ensure the agency's Internet website is equally accessible using a desktop computer, laptop computer, or mobile device, including a tablet or cellular telephone;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adopting best practices for search functionality, page load speed, and service integration;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using the department's web page templates and web design guidelines to provide consistency among state agency Internet websites and improve the usability of the website.</w:t>
      </w:r>
    </w:p>
    <w:p w:rsidR="003F3435" w:rsidRDefault="0032493E">
      <w:pPr>
        <w:spacing w:line="480" w:lineRule="auto"/>
        <w:ind w:firstLine="720"/>
        <w:jc w:val="both"/>
      </w:pPr>
      <w:r>
        <w:rPr>
          <w:u w:val="single"/>
        </w:rPr>
        <w:t xml:space="preserve">Sec.</w:t>
      </w:r>
      <w:r>
        <w:rPr>
          <w:u w:val="single"/>
        </w:rPr>
        <w:t xml:space="preserve"> </w:t>
      </w:r>
      <w:r>
        <w:rPr>
          <w:u w:val="single"/>
        </w:rPr>
        <w:t xml:space="preserve">2054.652.</w:t>
      </w:r>
      <w:r>
        <w:rPr>
          <w:u w:val="single"/>
        </w:rPr>
        <w:t xml:space="preserve"> </w:t>
      </w:r>
      <w:r>
        <w:rPr>
          <w:u w:val="single"/>
        </w:rPr>
        <w:t xml:space="preserve"> </w:t>
      </w:r>
      <w:r>
        <w:rPr>
          <w:u w:val="single"/>
        </w:rPr>
        <w:t xml:space="preserve">INTERAGENCY GUIDANCE AND SUPPORT.  (a)  In this section, "user-centered design" means a design approach focused on optimizing the user experience by improving Internet website navigation, accessibility, and responsiveness.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department shall provide guidance and technical assistance for use by state agencies in standardizing agency modernization planning efforts required by Section 2054.651.</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department shall develop and disseminate best practices for user-centered design, digital accessibility, and service integration, including web page templates and web design guidelines that provide a consistent look for state agency Internet websites and simplify user navigation.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department may establish a working group of state agency technology officers to facilitate information sharing and support consistency across agencies.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2054.653.</w:t>
      </w:r>
      <w:r>
        <w:rPr>
          <w:u w:val="single"/>
        </w:rPr>
        <w:t xml:space="preserve"> </w:t>
      </w:r>
      <w:r>
        <w:rPr>
          <w:u w:val="single"/>
        </w:rPr>
        <w:t xml:space="preserve"> </w:t>
      </w:r>
      <w:r>
        <w:rPr>
          <w:u w:val="single"/>
        </w:rPr>
        <w:t xml:space="preserve">LEGISLATIVE REPORT.  (a)  Not later than November 15, 2026, the department shall submit a report to the legislature detailing the status of the state agency digital modernization planning efforts required by this subchapter and identifying common priorities and challenges.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expires January 1, 2027.</w:t>
      </w:r>
    </w:p>
    <w:p w:rsidR="003F3435" w:rsidRDefault="0032493E">
      <w:pPr>
        <w:spacing w:line="480" w:lineRule="auto"/>
        <w:ind w:firstLine="720"/>
        <w:jc w:val="both"/>
      </w:pPr>
      <w:r>
        <w:rPr>
          <w:u w:val="single"/>
        </w:rPr>
        <w:t xml:space="preserve">Sec.</w:t>
      </w:r>
      <w:r>
        <w:rPr>
          <w:u w:val="single"/>
        </w:rPr>
        <w:t xml:space="preserve"> </w:t>
      </w:r>
      <w:r>
        <w:rPr>
          <w:u w:val="single"/>
        </w:rPr>
        <w:t xml:space="preserve">2054.654.</w:t>
      </w:r>
      <w:r>
        <w:rPr>
          <w:u w:val="single"/>
        </w:rPr>
        <w:t xml:space="preserve"> </w:t>
      </w:r>
      <w:r>
        <w:rPr>
          <w:u w:val="single"/>
        </w:rPr>
        <w:t xml:space="preserve"> </w:t>
      </w:r>
      <w:r>
        <w:rPr>
          <w:u w:val="single"/>
        </w:rPr>
        <w:t xml:space="preserve">REVIEW OF DIGITAL MODERNIZATION EFFORTS.  (a)  Each state agency, in coordination with the department and the Legislative Budget Board,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biennially review the implementation of the agency's digital modernization efforts under this subchapter, including a review of the: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cost-efficiency of the agency's digital modernization efforts;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effectiveness of digital service upgrades in improving public access;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agency's compliance with any statewide guidance relating to digital modernization;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submit the findings of the review described by Subdivision (1) to the department.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 later than December 1 of each odd-numbered year, the department shall prepare and submit to the governor, the lieutenant governor, and the speaker of the house of representatives a report on the findings submitted under Subsection (a)(2).</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section expires September 1, 2031.</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Department of Information Resources shall submit the initial report required by Section 2054.654(b), Government Code, as added by this Act, not later than December 1, 2027.</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5195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