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telework for state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658, Government Code, is amended by adding Sections 658.001(3) and 658.011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658.001.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72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“Full-time state employee” means a person employed by a state agency who, if not participating in a voluntary work reduction program under Section 658.003, is required to work for the agency not less than 40 hours a week.</w:t>
      </w:r>
    </w:p>
    <w:p w:rsidR="003F3435" w:rsidRDefault="0032493E">
      <w:pPr>
        <w:spacing w:line="480" w:lineRule="auto"/>
        <w:ind w:firstLine="72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“State agency” means: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board, commission, department, institution, office, or other agency in the executive branch of state government that is created by the constitution or a statute of this state, including an institution of higher education as defined by Section 61.003</w:t>
      </w:r>
      <w:r>
        <w:t xml:space="preserve">, Education Code, other than a public junior college;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Supreme Court of Texas, the Texas Court of Criminal Appeals, a court of appeals, or other agency in the judicial branch.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“Telework” means a work arrangement that allows a state employee to conduct all or some of their work away from a state office building during all or a portion of the state employee’s established work hours on a regular basis.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658.011.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AWARDING OF TELEWORK.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Subject to the provisions under Sec. 658.010, the administrative head of an agency may award telework to an employee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Address a lack of office space;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reasonable flexibilities that enhance the agency’s ability to achieve its 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administrative head of the employing agency shall articulate in writing the reason telework is being provided to an employee and the conditions under which it may be revoked.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Telework shall not be awarded to an employee as a condition of hiring.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Telework may be revoked at any time at the discretion of the agency and without notice.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Telework agreements must be renewed annually by the employee and the administrative head of an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