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89R16116 EAS-D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Leach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5354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information reported by prosecuting attorneys to the Texas Judicial Council.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C, Chapter 71, Government Code, is amended by adding Section 71.0354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71.0354.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PROSECUTING ATTORNEY INFORMATION.  (a)  In this section, "prosecuting attorney" means a county attorney, district attorney, or criminal district attorney representing this state in criminal matters before the district or other courts of the county.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prosecuting attorney shall report in the form and manner prescribed by the council information 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categories of criminal offenses prosecuted by the prosecuting attorney and the number of criminal cases in each category;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personnel employed by the prosecuting attorney and whether that number is sufficient to support the  prosecutor's caseload;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times a defendant was released as provided by Article 17.151, Code of Criminal Procedure;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electronic notices submitted by the prosecuting attorney to a court as required by Article 17.027(a)(2), Code of Criminal Procedure.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prescribing the information to be submitted and form and manner of submission of the information under Subsection (b), the council shall consult with: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Texas District and County Attorneys Association;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other interested persons.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Not later than September 1, 2026, the Texas Judicial Council shall prescribe the information, and form and manner of submission, a prosecuting attorney in this state is required to report under Section 71.0354, Government Code, as added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5354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