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Kaufman</w:t>
      </w:r>
      <w:r>
        <w:t xml:space="preserve"> (Senate Sponsor</w:t>
      </w:r>
      <w:r xml:space="preserve">
        <w:t> </w:t>
      </w:r>
      <w:r>
        <w:t xml:space="preserve">-</w:t>
      </w:r>
      <w:r xml:space="preserve">
        <w:t> </w:t>
      </w:r>
      <w:r>
        <w:t xml:space="preserve">Nichols)</w:t>
      </w:r>
      <w:r xml:space="preserve">
        <w:tab wTab="150" tlc="none" cTlc="0"/>
      </w:r>
      <w:r>
        <w:t xml:space="preserve">H.B.</w:t>
      </w:r>
      <w:r xml:space="preserve">
        <w:t> </w:t>
      </w:r>
      <w:r>
        <w:t xml:space="preserve">No.</w:t>
      </w:r>
      <w:r xml:space="preserve">
        <w:t> </w:t>
      </w:r>
      <w:r>
        <w:t xml:space="preserve">5435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9,</w:t>
      </w:r>
      <w:r xml:space="preserve">
        <w:t> </w:t>
      </w:r>
      <w:r>
        <w:t xml:space="preserve">2025, read first time and referred to Committee on Business &amp; Commerce; May</w:t>
      </w:r>
      <w:r xml:space="preserve">
        <w:t> </w:t>
      </w:r>
      <w:r>
        <w:t xml:space="preserve">26,</w:t>
      </w:r>
      <w:r xml:space="preserve">
        <w:t> </w:t>
      </w:r>
      <w:r>
        <w:t xml:space="preserve">2025, reported favorably by the following vote:</w:t>
      </w:r>
      <w:r>
        <w:t xml:space="preserve"> </w:t>
      </w:r>
      <w:r>
        <w:t xml:space="preserve"> </w:t>
      </w:r>
      <w:r>
        <w:t xml:space="preserve">Yeas 11, Nays 0;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required lease terms for public property leased to a nongovernmental entity.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2252.909, Government Code, as added by Chapter 1008 (H.B. 2518), Acts of the 88th Legislature, Regular Session, 2023, is amended by amending Subsection (b) and adding Subsection (b-1)</w:t>
      </w:r>
      <w:r>
        <w:t xml:space="preserve"> </w:t>
      </w:r>
      <w:r>
        <w:t xml:space="preserve">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(b-1), a</w:t>
      </w:r>
      <w:r>
        <w:t xml:space="preserve"> [</w:t>
      </w:r>
      <w:r>
        <w:rPr>
          <w:strike/>
        </w:rPr>
        <w:t xml:space="preserve">A</w:t>
      </w:r>
      <w:r>
        <w:t xml:space="preserve">] lease between a governmental entity and another person regarding public property must contain lease terms requiring the person to:</w:t>
      </w:r>
    </w:p>
    <w:p w:rsidR="003F3435" w:rsidRDefault="0032493E">
      <w:pPr>
        <w:spacing w:line="480" w:lineRule="auto"/>
        <w:ind w:firstLine="1440"/>
        <w:jc w:val="both"/>
      </w:pPr>
      <w:r>
        <w:t xml:space="preserve">(1)</w:t>
      </w:r>
      <w:r xml:space="preserve">
        <w:t> </w:t>
      </w:r>
      <w:r xml:space="preserve">
        <w:t> </w:t>
      </w:r>
      <w:r>
        <w:t xml:space="preserve">include in each contract for the construction, alteration, or repair of an improvement to the leased property a condition that the contractor:</w:t>
      </w:r>
    </w:p>
    <w:p w:rsidR="003F3435" w:rsidRDefault="0032493E">
      <w:pPr>
        <w:spacing w:line="480" w:lineRule="auto"/>
        <w:ind w:firstLine="2160"/>
        <w:jc w:val="both"/>
      </w:pPr>
      <w:r>
        <w:t xml:space="preserve">(A)</w:t>
      </w:r>
      <w:r xml:space="preserve">
        <w:t> </w:t>
      </w:r>
      <w:r xml:space="preserve">
        <w:t> </w:t>
      </w:r>
      <w:r>
        <w:t xml:space="preserve">execute a payment bond that conforms to Subchapter I, Chapter 53, Property Code; and</w:t>
      </w:r>
    </w:p>
    <w:p w:rsidR="003F3435" w:rsidRDefault="0032493E">
      <w:pPr>
        <w:spacing w:line="480" w:lineRule="auto"/>
        <w:ind w:firstLine="2160"/>
        <w:jc w:val="both"/>
      </w:pPr>
      <w:r>
        <w:t xml:space="preserve">(B)</w:t>
      </w:r>
      <w:r xml:space="preserve">
        <w:t> </w:t>
      </w:r>
      <w:r xml:space="preserve">
        <w:t> </w:t>
      </w:r>
      <w:r>
        <w:t xml:space="preserve">execute a performance bond in an amount equal to the amount of the contract for the protection of the governmental entity and conditioned on the faithful performance of the contractor's work in accordance with the plans, specifications, and contract documents; and</w:t>
      </w:r>
    </w:p>
    <w:p w:rsidR="003F3435" w:rsidRDefault="0032493E">
      <w:pPr>
        <w:spacing w:line="480" w:lineRule="auto"/>
        <w:ind w:firstLine="1440"/>
        <w:jc w:val="both"/>
      </w:pPr>
      <w:r>
        <w:t xml:space="preserve">(2)</w:t>
      </w:r>
      <w:r xml:space="preserve">
        <w:t> </w:t>
      </w:r>
      <w:r xml:space="preserve">
        <w:t> </w:t>
      </w:r>
      <w:r>
        <w:t xml:space="preserve">provide to the governmental entity a notice of commencement consistent with this section at least 90 days before the date the construction, alteration, or repair of any improvement to the leased property begins.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requirement that a lease must contain a term requiring notice of commencement to a governmental entity under Subsection (b)(2) does not apply to a lease between an institution of higher education, as defined by Section 61.003, Education Code, and another person regarding public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lease between a governmental entity and another person regarding public property that is entered into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