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Little</w:t>
      </w:r>
      <w:r xml:space="preserve">
        <w:tab wTab="150" tlc="none" cTlc="0"/>
      </w:r>
      <w:r>
        <w:t xml:space="preserve">H.B.</w:t>
      </w:r>
      <w:r xml:space="preserve">
        <w:t> </w:t>
      </w:r>
      <w:r>
        <w:t xml:space="preserve">No.</w:t>
      </w:r>
      <w:r xml:space="preserve">
        <w:t> </w:t>
      </w:r>
      <w:r>
        <w:t xml:space="preserve">5456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resident safety from criminal activity in senior retirement communities.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B, Title 9, Health and Safety Code, is amended by adding Chapter 786 to read as follows:</w:t>
      </w:r>
    </w:p>
    <w:p w:rsidR="003F3435" w:rsidRDefault="0032493E">
      <w:pPr>
        <w:spacing w:line="480" w:lineRule="auto"/>
        <w:jc w:val="center"/>
      </w:pPr>
      <w:r>
        <w:rPr>
          <w:u w:val="single"/>
        </w:rPr>
        <w:t xml:space="preserve">CHAPTER 786.  SENIOR RETIREMENT COMMUNITIES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786.001.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"Common amenity" means an amenity or service offered or provided to residents of a multiunit residential property,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concierge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library;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common dining services;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housekeeping services;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full-time security.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"Resident" means an individual who resides in a senior retirement community as a unit owner or tenant.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"Senior retirement community" means a residential</w:t>
      </w:r>
    </w:p>
    <w:p w:rsidR="003F3435" w:rsidRDefault="0032493E">
      <w:pPr>
        <w:spacing w:line="480" w:lineRule="auto"/>
        <w:jc w:val="both"/>
      </w:pPr>
      <w:r>
        <w:rPr>
          <w:u w:val="single"/>
        </w:rPr>
        <w:t xml:space="preserve">community or a portion of a residential community: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described by Section 301.043, Property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contains not fewer than 20 residential units in one or more multiunit buildings that are available to rent or lease;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that provides common amenities.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"Senior retirement community contract" means a contract with a resident of a senior retirement community for providing a common amenity to the resident.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"Unit" means a physical portion of a residential property designated for separate ownership or occupancy.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786.002.</w:t>
      </w:r>
      <w:r>
        <w:rPr>
          <w:u w:val="single"/>
        </w:rPr>
        <w:t xml:space="preserve"> </w:t>
      </w:r>
      <w:r>
        <w:rPr>
          <w:u w:val="single"/>
        </w:rPr>
        <w:t xml:space="preserve"> </w:t>
      </w:r>
      <w:r>
        <w:rPr>
          <w:u w:val="single"/>
        </w:rPr>
        <w:t xml:space="preserve">EXEMPTIONS.  This 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health care institution as defined by Section 74.001, Civil Practice and Remedies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boarding home facility as defined by Section 260.001 that holds a permit issued under Chapter 260;</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supportive housing facility for elderly individuals operated under Section 202, the National Housing Act (12 U.S.C. Section 1701q);</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center for independent living as defined by Section 702 of the federal Rehabilitation Act of 1973 (29 U.S.C. Section 796a);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facility that is regulated by the Health and Human Services Commission or in accordance with rules adopted by the Centers for Medicare and Medicaid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786.003.</w:t>
      </w:r>
      <w:r>
        <w:rPr>
          <w:u w:val="single"/>
        </w:rPr>
        <w:t xml:space="preserve"> </w:t>
      </w:r>
      <w:r>
        <w:rPr>
          <w:u w:val="single"/>
        </w:rPr>
        <w:t xml:space="preserve"> </w:t>
      </w:r>
      <w:r>
        <w:rPr>
          <w:u w:val="single"/>
        </w:rPr>
        <w:t xml:space="preserve">REQUIREMENTS RELATING TO RESIDENT SAFETY FROM CRIMINAL ACTIVITY.  (a)  </w:t>
      </w:r>
      <w:r>
        <w:rPr>
          <w:u w:val="single"/>
        </w:rPr>
        <w:t xml:space="preserve">A senior retirement community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for each retirement community employee a criminal history record check using the computerized criminal history system maintained by the Department of Public Safety of the State of Texas;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disclose in the senior retirement community contract whether the retirement community requires each business that will provide services at the retirement community to conduct a criminal history record check of each of the business's employees who will provide services at the retirement community;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maintain a resident safety and communications policy regarding criminal activity that poses a risk to residents, which must require the retirement community to send to each resident and post in a conspicuous manner at a location on the retirement community premises where the retirement community posts other community notices a written notice containing information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known reports of potential criminal activity made to law enforcement from or at the retirement community not later than two business days after the date the report is made or activity occurs;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known instances of trespassing at the retirement community not later than two business days after the trespassing is reported or occurs.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providing notice under the policy adopted by a senior retirement community under Subsection (a)(3) relating to a reportable incident described by that subdivision, the retirement community: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provide for the removal of the personal identifying information of an individual who is involved in the reportable incident to prevent the individual's identification;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refuse to provide the notice based solely on concerns related to the disclosure of the individual's personal identifying information.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senior retirement community may not be held civilly or criminally liable for the retirement community's compliance with Subsection (a)(1) or (3).</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senior retirement community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prevent or inhibit a resident from or penalize a resident for communicating with a law enforcement officer, social worker, family member, or other interested person regarding the safety and security of the retirement community;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prevent a law enforcement officer or court officer from entering a common area of the retirement community to conduct a voluntary interview with a resident as part of an investigation into criminal activity at the retirement community.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5456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