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89R14959 JBD-F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Dyson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5489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temporary moratorium on the imposition of an impact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395, Local Government Code, is amended by adding Section 395.002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MORATORIUM ON IMPACT FEES.  (a)  Except as provided by Subsection (b), a political subdivision may not impose an impact fee under this chapter on or after September 1, 2025.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impose an impact fee otherwise prohibited from being imposed under this section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political subdivision pledged the specific fee before September 1, 2025, for the payment of any debt;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imposing the fee would impair the obligation of the contract by which the debt was created.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August 31, 2029.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5489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