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H.B.</w:t>
      </w:r>
      <w:r xml:space="preserve">
        <w:t> </w:t>
      </w:r>
      <w:r>
        <w:t xml:space="preserve">No.</w:t>
      </w:r>
      <w:r xml:space="preserve">
        <w:t> </w:t>
      </w:r>
      <w:r>
        <w:t xml:space="preserve">5511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of existing boards and commissions under the jurisdiction of the comptroller for continuity and to the repeal of certain committees under the jurisdiction of the comptroller.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w:t>
      </w:r>
      <w:r>
        <w:t xml:space="preserve"> </w:t>
      </w:r>
      <w:r>
        <w:t xml:space="preserve">The purpose of this Act is to improve the efficiency and effectiveness of operations of the office of the comptroller.</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Chapter 403, Government Code, is amended by adding Subchapter U to read as follows:</w:t>
      </w:r>
    </w:p>
    <w:p w:rsidR="003F3435" w:rsidRDefault="0032493E">
      <w:pPr>
        <w:spacing w:line="480" w:lineRule="auto"/>
        <w:jc w:val="center"/>
      </w:pPr>
      <w:r>
        <w:rPr>
          <w:u w:val="single"/>
        </w:rPr>
        <w:t xml:space="preserve">SUBCHAPTER U.  COMPTROLLER REVIEW OF BOARDS AND COMMISSIONS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403.701:</w:t>
      </w:r>
      <w:r>
        <w:rPr>
          <w:u w:val="single"/>
        </w:rPr>
        <w:t xml:space="preserve"> </w:t>
      </w:r>
      <w:r>
        <w:rPr>
          <w:u w:val="single"/>
        </w:rPr>
        <w:t xml:space="preserve"> </w:t>
      </w:r>
      <w:r>
        <w:rPr>
          <w:u w:val="single"/>
        </w:rPr>
        <w:t xml:space="preserve">REVIEW AND REPORT ON BOARDS AND COMMISSIONS UNDER JURISDICTION OF THE COMPTROLLER:  (a)  The comptroller shall review each board and commission, including each committee, council, group and task force, that is a part of the office of the comptroller, under the direction of the comptroller, or administratively attached to the office of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review shall include an assessment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continuing necessity of each board, commission, committee, council, group and task force;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each board, commission, committee, council, group or task force promotes efficient and effective operations of the office of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submit a report to the legislature to identify boards, commissions, committees, councils, groups and task forces that no longer serve a continuing necessity or promote efficient and effective operations of the office of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submit the report to the legislature no later than December 1, 2026.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subchapter expires December 31, 2026.</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3:</w:t>
      </w:r>
      <w:r>
        <w:rPr>
          <w:u w:val="single"/>
        </w:rPr>
        <w:t xml:space="preserve"> </w:t>
      </w:r>
      <w:r>
        <w:rPr>
          <w:u w:val="single"/>
        </w:rPr>
        <w:t xml:space="preserve"> </w:t>
      </w:r>
      <w:r>
        <w:rPr>
          <w:u w:val="single"/>
        </w:rPr>
        <w:t xml:space="preserve">Section 403.1041 (e), Government Code, is amended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w:t>
      </w:r>
      <w:r>
        <w:t xml:space="preserve">[</w:t>
      </w:r>
      <w:r>
        <w:rPr>
          <w:strike/>
        </w:rPr>
        <w:t xml:space="preserve">, with the advice of and in consultation with the advisory committee,</w:t>
      </w:r>
      <w:r>
        <w:t xml:space="preserve">] </w:t>
      </w:r>
      <w:r>
        <w:rPr>
          <w:u w:val="single"/>
        </w:rPr>
        <w:t xml:space="preserve">may use the earnings of the account for any investment expense, including to obtain the advice of appropriate investment consultants for managing the assets in the account.</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403.028(f), Government Code;</w:t>
      </w:r>
    </w:p>
    <w:p w:rsidR="003F3435" w:rsidRDefault="0032493E">
      <w:pPr>
        <w:spacing w:line="480" w:lineRule="auto"/>
        <w:ind w:firstLine="1440"/>
        <w:jc w:val="both"/>
      </w:pPr>
      <w:r>
        <w:t xml:space="preserve">(2)</w:t>
      </w:r>
      <w:r xml:space="preserve">
        <w:t> </w:t>
      </w:r>
      <w:r xml:space="preserve">
        <w:t> </w:t>
      </w:r>
      <w:r>
        <w:t xml:space="preserve">Section 403.1042, Government Code; and</w:t>
      </w:r>
    </w:p>
    <w:p w:rsidR="003F3435" w:rsidRDefault="0032493E">
      <w:pPr>
        <w:spacing w:line="480" w:lineRule="auto"/>
        <w:ind w:firstLine="1440"/>
        <w:jc w:val="both"/>
      </w:pPr>
      <w:r>
        <w:t xml:space="preserve">(3)</w:t>
      </w:r>
      <w:r xml:space="preserve">
        <w:t> </w:t>
      </w:r>
      <w:r xml:space="preserve">
        <w:t> </w:t>
      </w:r>
      <w:r>
        <w:t xml:space="preserve">Section 403.618,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