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89R25577 AND-D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5646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5646:</w:t>
      </w: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C.S.H.B.</w:t>
      </w:r>
      <w:r xml:space="preserve">
        <w:t> </w:t>
      </w:r>
      <w:r>
        <w:t xml:space="preserve">No.</w:t>
      </w:r>
      <w:r xml:space="preserve">
        <w:t> </w:t>
      </w:r>
      <w:r>
        <w:t xml:space="preserve">5646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resident tuition rates and fees at public institutions of higher education for certain students in military-related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54, Education Code, is amended by adding Section 54.224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54.224.</w:t>
      </w:r>
      <w:r>
        <w:rPr>
          <w:u w:val="single"/>
        </w:rPr>
        <w:t xml:space="preserve"> </w:t>
      </w:r>
      <w:r>
        <w:rPr>
          <w:u w:val="single"/>
        </w:rPr>
        <w:t xml:space="preserve"> </w:t>
      </w:r>
      <w:r>
        <w:rPr>
          <w:u w:val="single"/>
        </w:rPr>
        <w:t xml:space="preserve">RESIDENT TUITION FOR STUDENTS IN MILITARY-RELATED PROGRAMS.  (a)  A person enrolled at an institution of higher education is entitled to pay tuition and fees at the rates provided for Texas residents if the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enrolled and in good standing in a Reserve Officers' Training Corps (ROTC)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enrolled in a corps of cadets, including a corps of cadets at a senior military college;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enrolled in a corps of midshipmen.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person who is entitled to pay resident tuition and fees only as permitted by this section is not considered a Texas resident under this subchapter for purposes of a financial aid program offered by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beginning with tuition and other fees charged for the 2026 spring semester.  Tuition and other fees charged for an academic period before that semester are covered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5646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