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89R25621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Cole</w:t>
      </w:r>
      <w:r xml:space="preserve">
        <w:tab wTab="150" tlc="none" cTlc="0"/>
      </w:r>
      <w:r>
        <w:t xml:space="preserve">H.B.</w:t>
      </w:r>
      <w:r xml:space="preserve">
        <w:t> </w:t>
      </w:r>
      <w:r>
        <w:t xml:space="preserve">No.</w:t>
      </w:r>
      <w:r xml:space="preserve">
        <w:t> </w:t>
      </w:r>
      <w:r>
        <w:t xml:space="preserve">5677</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5677:</w:t>
      </w: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C.S.H.B.</w:t>
      </w:r>
      <w:r xml:space="preserve">
        <w:t> </w:t>
      </w:r>
      <w:r>
        <w:t xml:space="preserve">No.</w:t>
      </w:r>
      <w:r xml:space="preserve">
        <w:t> </w:t>
      </w:r>
      <w:r>
        <w:t xml:space="preserve">5677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Pura Vida Municipal Management District No.</w:t>
      </w:r>
      <w:r xml:space="preserve">
        <w:t> </w:t>
      </w:r>
      <w:r>
        <w:t xml:space="preserve">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the purposes described by Section 352.1015,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5677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