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Texans of all ages benefit from the work of counseling professionals, and the designation of April as Counseling Awareness Month serves as a fitting means to honor those who dedicate themselves to this important calling;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Professional counselors provide a wide range of services to help people overcome mental health challenges and live healthier and more productive lives; they currently make up the largest group of mental health providers in the state, with more than 13,000 Certified School Counselors and 34,000 Licensed Professional Counselors and LPC Associates;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Individuals can access professional counseling services through educational institutions, mental health agencies, community organizations, hospitals, rehabilitation centers, private practices, and other settings;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empowering people to address their social-emotional needs and achieve their goals, professional counselors play a vital role in strengthening our communities, and the official designation of Counseling Awareness Month helps to promote a better understanding of their essential contributions;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April as Counseling Awareness Month;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391.004(d),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Lopez of Cameron</w:t>
      </w:r>
    </w:p>
    <w:p w:rsidR="003F3435" w:rsidRDefault="0032493E">
      <w:pPr>
        <w:jc w:val="right"/>
      </w:pPr>
      <w:r>
        <w:t xml:space="preserve">Hull</w:t>
      </w:r>
    </w:p>
    <w:p w:rsidR="003F3435" w:rsidRDefault="0032493E">
      <w:pPr>
        <w:jc w:val="right"/>
      </w:pPr>
      <w:r>
        <w:t xml:space="preserve">Ordaz</w:t>
      </w:r>
    </w:p>
    <w:p w:rsidR="003F3435" w:rsidRDefault="0032493E">
      <w:pPr>
        <w:jc w:val="right"/>
      </w:pPr>
      <w:r>
        <w:t xml:space="preserve">Romero</w:t>
      </w:r>
    </w:p>
    <w:p w:rsidR="003F3435" w:rsidRDefault="0032493E">
      <w:pPr>
        <w:jc w:val="right"/>
      </w:pPr>
      <w:r>
        <w:t xml:space="preserve">Garcia Hernandez</w:t>
      </w:r>
    </w:p>
    <w:p w:rsidR="003F3435" w:rsidRDefault="0032493E">
      <w:pPr>
        <w:jc w:val="right"/>
      </w:pPr>
      <w:r>
        <w:t xml:space="preserve">Morales of Maverick</w:t>
      </w:r>
    </w:p>
    <w:p w:rsidR="003F3435" w:rsidRDefault="0032493E">
      <w:pPr>
        <w:jc w:val="right"/>
      </w:pPr>
      <w:r>
        <w:t xml:space="preserve">Plesa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29 was adopted by the House on April 24, 2025, by the following vote:</w:t>
      </w:r>
      <w:r xml:space="preserve">
        <w:t> </w:t>
      </w:r>
      <w:r xml:space="preserve">
        <w:t> </w:t>
      </w:r>
      <w:r>
        <w:t xml:space="preserve">Yeas 127, Nays 17,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29 was adopted by the Senate on May 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