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35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jc w:val="both"/>
      </w:pPr>
    </w:p>
    <w:tbl>
      <w:tr>
        <w:tc>
          <w:p>
            <w:r>
              <w:t xml:space="preserve">Ordaz</w:t>
            </w:r>
          </w:p>
        </w:tc>
        <w:tc>
          <w:p>
            <w:r>
              <w:t xml:space="preserve">Bonnen</w:t>
            </w:r>
          </w:p>
        </w:tc>
      </w:tr>
      <w:tr>
        <w:tc>
          <w:p>
            <w:r>
              <w:t xml:space="preserve">Paul</w:t>
            </w:r>
          </w:p>
        </w:tc>
        <w:tc>
          <w:p>
            <w:r>
              <w:t xml:space="preserve">Morales of Maverick</w:t>
            </w:r>
          </w:p>
        </w:tc>
      </w:tr>
      <w:tr>
        <w:tc>
          <w:p>
            <w:r>
              <w:t xml:space="preserve">Lopez of Cameron</w:t>
            </w:r>
          </w:p>
        </w:tc>
        <w:tc>
          <w:p>
            <w:r>
              <w:t xml:space="preserve">Alders</w:t>
            </w:r>
          </w:p>
        </w:tc>
      </w:tr>
      <w:tr>
        <w:tc>
          <w:p>
            <w:r>
              <w:t xml:space="preserve">Bucy</w:t>
            </w:r>
          </w:p>
        </w:tc>
        <w:tc>
          <w:p>
            <w:r>
              <w:t xml:space="preserve">Bumgarner</w:t>
            </w:r>
          </w:p>
        </w:tc>
      </w:tr>
      <w:tr>
        <w:tc>
          <w:p>
            <w:r>
              <w:t xml:space="preserve">Campos</w:t>
            </w:r>
          </w:p>
        </w:tc>
        <w:tc>
          <w:p>
            <w:r>
              <w:t xml:space="preserve">Cunningham</w:t>
            </w:r>
          </w:p>
        </w:tc>
      </w:tr>
      <w:tr>
        <w:tc>
          <w:p>
            <w:r>
              <w:t xml:space="preserve">Guillen</w:t>
            </w:r>
          </w:p>
        </w:tc>
        <w:tc>
          <w:p>
            <w:r>
              <w:t xml:space="preserve">Harris Davila</w:t>
            </w:r>
          </w:p>
        </w:tc>
      </w:tr>
      <w:tr>
        <w:tc>
          <w:p>
            <w:r>
              <w:t xml:space="preserve">Isaac</w:t>
            </w:r>
          </w:p>
        </w:tc>
        <w:tc>
          <w:p>
            <w:r>
              <w:t xml:space="preserve">Johnson</w:t>
            </w:r>
          </w:p>
        </w:tc>
      </w:tr>
      <w:tr>
        <w:tc>
          <w:p>
            <w:r>
              <w:t xml:space="preserve">Martinez</w:t>
            </w:r>
          </w:p>
        </w:tc>
        <w:tc>
          <w:p>
            <w:r>
              <w:t xml:space="preserve">Noble</w:t>
            </w:r>
          </w:p>
        </w:tc>
      </w:tr>
      <w:tr>
        <w:tc>
          <w:p>
            <w:r>
              <w:t xml:space="preserve">Perez of Harris</w:t>
            </w:r>
          </w:p>
        </w:tc>
        <w:tc>
          <w:p>
            <w:r>
              <w:t xml:space="preserve">Plesa</w:t>
            </w:r>
          </w:p>
        </w:tc>
      </w:tr>
      <w:tr>
        <w:tc>
          <w:p>
            <w:r>
              <w:t xml:space="preserve">Schoolcraft</w:t>
            </w:r>
          </w:p>
        </w:tc>
        <w:tc>
          <w:p/>
        </w:tc>
      </w:tr>
    </w:tbl>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35 was adopted by the House on April 9, 2025, by the following vote:</w:t>
      </w:r>
      <w:r xml:space="preserve">
        <w:t> </w:t>
      </w:r>
      <w:r xml:space="preserve">
        <w:t> </w:t>
      </w:r>
      <w:r>
        <w:t xml:space="preserve">Yeas 135, Nays 10,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35 was adopted by the Senate on April 30,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