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et al.</w:t>
      </w:r>
      <w:r>
        <w:t xml:space="preserve"> (Senate Sponsor</w:t>
      </w:r>
      <w:r xml:space="preserve">
        <w:t> </w:t>
      </w:r>
      <w:r>
        <w:t xml:space="preserve">-</w:t>
      </w:r>
      <w:r xml:space="preserve">
        <w:t> </w:t>
      </w:r>
      <w:r>
        <w:t xml:space="preserve">King)</w:t>
      </w:r>
      <w:r xml:space="preserve">
        <w:tab wTab="150" tlc="none" cTlc="0"/>
      </w:r>
      <w:r>
        <w:t xml:space="preserve">H.C.R.</w:t>
      </w:r>
      <w:r xml:space="preserve">
        <w:t> </w:t>
      </w:r>
      <w:r>
        <w:t xml:space="preserve">No.</w:t>
      </w:r>
      <w:r xml:space="preserve">
        <w:t> </w:t>
      </w:r>
      <w:r>
        <w:t xml:space="preserve">90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9,</w:t>
      </w:r>
      <w:r xml:space="preserve">
        <w:t> </w:t>
      </w:r>
      <w:r>
        <w:t xml:space="preserve">2025, read first time and referred to Committee on Economic Development; May</w:t>
      </w:r>
      <w:r xml:space="preserve">
        <w:t> </w:t>
      </w:r>
      <w:r>
        <w:t xml:space="preserve">14,</w:t>
      </w:r>
      <w:r xml:space="preserve">
        <w:t> </w:t>
      </w:r>
      <w:r>
        <w:t xml:space="preserve">2025, reported favorably by the following vote:</w:t>
      </w:r>
      <w:r>
        <w:t xml:space="preserve"> </w:t>
      </w:r>
      <w:r>
        <w:t xml:space="preserve"> </w:t>
      </w:r>
      <w:r>
        <w:t xml:space="preserve">Yeas 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