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Geren, et al.</w:t>
      </w:r>
      <w:r>
        <w:t xml:space="preserve"> (Senate Sponsor</w:t>
      </w:r>
      <w:r xml:space="preserve">
        <w:t> </w:t>
      </w:r>
      <w:r>
        <w:t xml:space="preserve">-</w:t>
      </w:r>
      <w:r xml:space="preserve">
        <w:t> </w:t>
      </w:r>
      <w:r>
        <w:t xml:space="preserve">Perry,  et al.)</w:t>
      </w:r>
      <w:r xml:space="preserve">
        <w:tab wTab="150" tlc="none" cTlc="0"/>
      </w:r>
      <w:r>
        <w:t xml:space="preserve">H.J.R.</w:t>
      </w:r>
      <w:r xml:space="preserve">
        <w:t> </w:t>
      </w:r>
      <w:r>
        <w:t xml:space="preserve">No.</w:t>
      </w:r>
      <w:r xml:space="preserve">
        <w:t> </w:t>
      </w:r>
      <w:r>
        <w:t xml:space="preserve">2</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29,</w:t>
      </w:r>
      <w:r xml:space="preserve">
        <w:t> </w:t>
      </w:r>
      <w:r>
        <w:t xml:space="preserve">2025; May</w:t>
      </w:r>
      <w:r xml:space="preserve">
        <w:t> </w:t>
      </w:r>
      <w:r>
        <w:t xml:space="preserve">5,</w:t>
      </w:r>
      <w:r xml:space="preserve">
        <w:t> </w:t>
      </w:r>
      <w:r>
        <w:t xml:space="preserve">2025, read first time and referred to Committee on Finance; May</w:t>
      </w:r>
      <w:r xml:space="preserve">
        <w:t> </w:t>
      </w:r>
      <w:r>
        <w:t xml:space="preserve">7,</w:t>
      </w:r>
      <w:r xml:space="preserve">
        <w:t> </w:t>
      </w:r>
      <w:r>
        <w:t xml:space="preserve">2025, reported favorably by the following vote:</w:t>
      </w:r>
      <w:r>
        <w:t xml:space="preserve"> </w:t>
      </w:r>
      <w:r>
        <w:t xml:space="preserve"> </w:t>
      </w:r>
      <w:r>
        <w:t xml:space="preserve">Yeas 15, Nays 0; May</w:t>
      </w:r>
      <w:r xml:space="preserve">
        <w:t> </w:t>
      </w:r>
      <w:r>
        <w:t xml:space="preserve">7,</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w:t>
      </w:r>
      <w:r xml:space="preserve">
        <w:rPr>
          <w:u w:val="single"/>
        </w:rPr>
        <w:t> </w:t>
      </w:r>
      <w:r>
        <w:rPr>
          <w:u w:val="single"/>
        </w:rPr>
        <w:t xml:space="preserve">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HOUSE JOINT RESOLUTION</w:t>
      </w:r>
    </w:p>
    <w:p w:rsidR="003F3435" w:rsidRDefault="003F3435"/>
    <w:p w:rsidR="003F3435" w:rsidRDefault="0032493E">
      <w:pPr>
        <w:spacing w:line="480" w:lineRule="auto"/>
        <w:jc w:val="both"/>
      </w:pPr>
      <w:r>
        <w:t xml:space="preserve">proposing a constitutional amendment prohibiting the legislature from imposing death taxes applicable to a decedent's property or the transfer of an estate, inheritance, legacy, succession, or gift.</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26.</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Except as provided by Subsection (b) of this section, the legislature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impose a state tax on the property of a deceased individual's estate because of the death of the individual, including an estate, inheritance, or death tax;</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impose a state tax on the transfer of an estate, inheritance, legacy, succession, or gift from an individual, family, estate, or trust to another individual, family, estate, or trust, including a tax on a generation-skipping transfer, if the tax was not in effect on January 1, 2025;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increase the rate or expand the applicability of a state tax described by Subdivision (2) of this subsection that was in effect on January 1, 2025, beyond the rate or applicability of the tax that was in effect on that date.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prohibit the imposition or change in the rate or applicability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tax described by Section 29(b) of this article;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tax applicable to the transfer of a motor vehicle by gift;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ad valorem tax on property.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prohibit the legislature from imposing death taxes applicable to a decedent's property or the transfer of an estate, inheritance, legacy, succession, or gift."</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