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89R20575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H.J.R.</w:t>
      </w:r>
      <w:r xml:space="preserve">
        <w:t> </w:t>
      </w:r>
      <w:r>
        <w:t xml:space="preserve">No.</w:t>
      </w:r>
      <w:r xml:space="preserve">
        <w:t> </w:t>
      </w:r>
      <w:r>
        <w:t xml:space="preserve">34</w:t>
      </w:r>
    </w:p>
    <w:p w:rsidR="003F3435" w:rsidRDefault="0032493E">
      <w:pPr>
        <w:spacing w:line="480" w:lineRule="auto"/>
        <w:jc w:val="both"/>
      </w:pPr>
      <w:r>
        <w:t xml:space="preserve">Substitute the following for</w:t>
      </w:r>
      <w:r xml:space="preserve">
        <w:t> </w:t>
      </w:r>
      <w:r>
        <w:t xml:space="preserve">H.J.R.</w:t>
      </w:r>
      <w:r xml:space="preserve">
        <w:t> </w:t>
      </w:r>
      <w:r>
        <w:t xml:space="preserve">No.</w:t>
      </w:r>
      <w:r xml:space="preserve">
        <w:t> </w:t>
      </w:r>
      <w:r>
        <w:t xml:space="preserve">34:</w:t>
      </w:r>
    </w:p>
    <w:p w:rsidR="003F3435" w:rsidRDefault="0032493E">
      <w:pPr>
        <w:spacing w:line="480" w:lineRule="auto"/>
        <w:jc w:val="both"/>
        <w:tabs>
          <w:tab w:val="right" w:leader="none" w:pos="9350"/>
        </w:tabs>
      </w:pPr>
      <w:r>
        <w:t xml:space="preserve">By:</w:t>
      </w:r>
      <w:r xml:space="preserve">
        <w:t> </w:t>
      </w:r>
      <w:r xml:space="preserve">
        <w:t> </w:t>
      </w:r>
      <w:r>
        <w:t xml:space="preserve">Button</w:t>
      </w:r>
      <w:r xml:space="preserve">
        <w:tab wTab="150" tlc="none" cTlc="0"/>
      </w:r>
      <w:r>
        <w:t xml:space="preserve">C.S.H.J.R.</w:t>
      </w:r>
      <w:r xml:space="preserve">
        <w:t> </w:t>
      </w:r>
      <w:r>
        <w:t xml:space="preserve">No.</w:t>
      </w:r>
      <w:r xml:space="preserve">
        <w:t> </w:t>
      </w:r>
      <w:r>
        <w:t xml:space="preserve">34</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1-y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1-y.</w:t>
      </w:r>
      <w:r>
        <w:rPr>
          <w:u w:val="single"/>
        </w:rPr>
        <w:t xml:space="preserve"> </w:t>
      </w:r>
      <w:r>
        <w:rPr>
          <w:u w:val="single"/>
        </w:rPr>
        <w:t xml:space="preserve"> </w:t>
      </w:r>
      <w:r>
        <w:rPr>
          <w:u w:val="single"/>
        </w:rPr>
        <w:t xml:space="preserve">(a) </w:t>
      </w:r>
      <w:r>
        <w:rPr>
          <w:u w:val="single"/>
        </w:rPr>
        <w:t xml:space="preserve"> </w:t>
      </w:r>
      <w:r>
        <w:rPr>
          <w:u w:val="single"/>
        </w:rPr>
        <w:t xml:space="preserve">The legislature by general law may exempt from ad valorem taxation the amount of the market value of real property located in a county that borders the United Mexican States that arises from the installation or construction on the property of border security infrastructure and related improvements.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by general law may define "border security infrastructure" for the purposes of this section and may prescribe additional eligibility requirements for the exemption authorized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C.S.H.J.R.</w:t>
    </w:r>
    <w:r xml:space="preserve">
      <w:t> </w:t>
    </w:r>
    <w:r>
      <w:t xml:space="preserve">No.</w:t>
    </w:r>
    <w:r xml:space="preserve">
      <w:t> </w:t>
    </w:r>
    <w:r>
      <w:t xml:space="preserve">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