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89R1248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H.J.R.</w:t>
      </w:r>
      <w:r xml:space="preserve">
        <w:t> </w:t>
      </w:r>
      <w:r>
        <w:t xml:space="preserve">No.</w:t>
      </w:r>
      <w:r xml:space="preserve">
        <w:t> </w:t>
      </w:r>
      <w:r>
        <w:t xml:space="preserve">39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set a lower limit on the maximum appraised value of a residence homestead for ad valorem taxation.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1(i), Article VIII, Texas Constitution, is amended to read as follows:</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the Legislature by general law may limit the maximum appraised value of a residence homestead for ad valorem tax purposes in a tax year to the lesser of the most recent market value of the residence homestead as determined by the appraisal entity or </w:t>
      </w:r>
      <w:r>
        <w:rPr>
          <w:u w:val="single"/>
        </w:rPr>
        <w:t xml:space="preserve">105</w:t>
      </w:r>
      <w:r>
        <w:t xml:space="preserve"> </w:t>
      </w:r>
      <w:r>
        <w:t xml:space="preserve">[</w:t>
      </w:r>
      <w:r>
        <w:rPr>
          <w:strike/>
        </w:rPr>
        <w:t xml:space="preserve">110</w:t>
      </w:r>
      <w:r>
        <w:t xml:space="preserve">] percent, or a greater percentage, of the appraised value of the residence homestead for the preceding tax year.  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as to a residence homestead on the later of the effective date of the law imposing the limitation or January 1 of the tax year following the first tax year the owner qualifies the property for an exemption under Section 1-b of this article; and</w:t>
      </w:r>
    </w:p>
    <w:p w:rsidR="003F3435" w:rsidRDefault="0032493E">
      <w:pPr>
        <w:spacing w:line="480" w:lineRule="auto"/>
        <w:ind w:firstLine="1440"/>
        <w:jc w:val="both"/>
      </w:pPr>
      <w:r>
        <w:t xml:space="preserve">(2)</w:t>
      </w:r>
      <w:r xml:space="preserve">
        <w:t> </w:t>
      </w:r>
      <w:r xml:space="preserve">
        <w:t> </w:t>
      </w:r>
      <w:r>
        <w:t xml:space="preserve">expires on January 1 of the first tax year that neither the owner of the property when the limitation took effect nor the owner's spouse or surviving spouse qualifies for an exemption under Section 1-b of this article.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set a lower limit on the maximum appraised value of a residence homestead for ad valorem taxation."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