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89R1621 LHC-D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et al.</w:t>
      </w:r>
      <w:r xml:space="preserve">
        <w:tab wTab="150" tlc="none" cTlc="0"/>
      </w:r>
      <w:r>
        <w:t xml:space="preserve">H.J.R.</w:t>
      </w:r>
      <w:r xml:space="preserve">
        <w:t> </w:t>
      </w:r>
      <w:r>
        <w:t xml:space="preserve">No.</w:t>
      </w:r>
      <w:r xml:space="preserve">
        <w:t> </w:t>
      </w:r>
      <w:r>
        <w:t xml:space="preserve">99</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authorizing the legislature to exempt from ad valorem taxation tangible personal property consisting of animal feed held by the owner of the property for sale at retail.</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1-s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1-s.</w:t>
      </w:r>
      <w:r>
        <w:rPr>
          <w:u w:val="single"/>
        </w:rPr>
        <w:t xml:space="preserve"> </w:t>
      </w:r>
      <w:r>
        <w:rPr>
          <w:u w:val="single"/>
        </w:rPr>
        <w:t xml:space="preserve"> </w:t>
      </w:r>
      <w:r>
        <w:rPr>
          <w:u w:val="single"/>
        </w:rPr>
        <w:t xml:space="preserve">(a) </w:t>
      </w:r>
      <w:r>
        <w:rPr>
          <w:u w:val="single"/>
        </w:rPr>
        <w:t xml:space="preserve"> </w:t>
      </w:r>
      <w:r>
        <w:rPr>
          <w:u w:val="single"/>
        </w:rPr>
        <w:t xml:space="preserve">The legislature by general law may exempt from ad valorem taxation tangible personal property consisting of animal feed held by the owner of the property for sale at retail.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by general law may provide additional eligibility requirements for the exemption authorized by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authorizing the legislature to exempt from ad valorem taxation tangible personal property consisting of animal feed held by the owner of the property for sale at retail."</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99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