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89R9601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Button, Cook, Cortez,</w:t>
      </w:r>
      <w:r xml:space="preserve">
        <w:tab wTab="150" tlc="none" cTlc="0"/>
      </w:r>
      <w:r>
        <w:t xml:space="preserve">H.J.R.</w:t>
      </w:r>
      <w:r xml:space="preserve">
        <w:t> </w:t>
      </w:r>
      <w:r>
        <w:t xml:space="preserve">No.</w:t>
      </w:r>
      <w:r xml:space="preserve">
        <w:t> </w:t>
      </w:r>
      <w:r>
        <w:t xml:space="preserve">133</w:t>
      </w:r>
    </w:p>
    <w:p w:rsidR="003F3435" w:rsidRDefault="0032493E">
      <w:pPr>
        <w:jc w:val="both"/>
      </w:pPr>
      <w:r xml:space="preserve">
        <w:t> </w:t>
      </w:r>
      <w:r xml:space="preserve">
        <w:t> </w:t>
      </w:r>
      <w:r xml:space="preserve">
        <w:t> </w:t>
      </w:r>
      <w:r xml:space="preserve">
        <w:t> </w:t>
      </w:r>
      <w:r xml:space="preserve">
        <w:t> </w:t>
      </w:r>
      <w:r>
        <w:t xml:space="preserve">Garcia of Dallas</w:t>
      </w:r>
    </w:p>
    <w:p w:rsidR="003F3435" w:rsidRDefault="003F3435"/>
    <w:p w:rsidR="003F3435" w:rsidRDefault="003F3435"/>
    <w:p w:rsidR="003F3435" w:rsidRDefault="0032493E">
      <w:pPr>
        <w:spacing w:before="240" w:line="480" w:lineRule="auto"/>
        <w:jc w:val="center"/>
      </w:pPr>
      <w:r>
        <w:t xml:space="preserve">A JOINT RESOLUTION</w:t>
      </w:r>
    </w:p>
    <w:p w:rsidR="003F3435" w:rsidRDefault="0032493E">
      <w:pPr>
        <w:spacing w:line="480" w:lineRule="auto"/>
        <w:jc w:val="both"/>
      </w:pPr>
      <w:r>
        <w:t xml:space="preserve">proposing a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Subsections (q) and (r) to read as follows: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legislature by general law may provide that the surviving spouse of a veteran of the armed services of the United States who died as a result of a condition or disease that is presumed under federal law to have been service-connected is entitled to an exemption from ad valorem taxation of all or part of the market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The legislature by general law may provide that a surviving spouse who qualifies for and receives an exemption in accordance with Subsection (q)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(q) of this section in the last year in which the surviving spouse received the exemption in accordance with that subsection for that homestead if the surviving spouse has not remarried since the death of the veteran.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Sections 1-b(q) and (r), Article VIII, of this constitution take effect January 1, 2026, and apply only to a tax year beginning on or after that date.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