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H.J.R.</w:t>
      </w:r>
      <w:r xml:space="preserve">
        <w:t> </w:t>
      </w:r>
      <w:r>
        <w:t xml:space="preserve">No.</w:t>
      </w:r>
      <w:r xml:space="preserve">
        <w:t> </w:t>
      </w:r>
      <w:r>
        <w:t xml:space="preserve">133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Subsections (q) and (r) to read as follows:</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legislature by general law may provide that the surviving spouse of a veteran of the armed services of the United States who died as a result of a condition or disease that is presumed under federal law to have been service-connected is entitled to an exemption from ad valorem taxation of all or part of the market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The legislature by general law may provide that a surviving spouse who qualifies for and receives an exemption in accordance with Subsection (q) of this section and who subsequently qualifies a different property as the surviving spouse's residence homestead is entitled to an exemption from ad valorem taxation of the subsequently qualified homestead in an amount equal to the dollar amount of the exemption from ad valorem taxation of the first homestead for which the exemption was received in accordance with Subsection (q) of this section in the last year in which the surviving spouse received the exemption in accordance with that subsection for that homestead if the surviving spouse has not remarried since the death of the veteran.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Sections 1-b(q) and (r), Article VIII, of this constitution take effect January 1, 2026, and apply only to a tax year beginning on or after that date.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133 was passed by the House on April 28, 2025, by the following vote:</w:t>
      </w:r>
      <w:r xml:space="preserve">
        <w:t> </w:t>
      </w:r>
      <w:r xml:space="preserve">
        <w:t> </w:t>
      </w:r>
      <w:r>
        <w:t xml:space="preserve">Yeas 135, Nays 6, 3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H.J.R. No. 133 was passed by the Senate on May 25,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RECEIVED: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Secretary of State</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