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89R3495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H.J.R.</w:t>
      </w:r>
      <w:r xml:space="preserve">
        <w:t> </w:t>
      </w:r>
      <w:r>
        <w:t xml:space="preserve">No.</w:t>
      </w:r>
      <w:r xml:space="preserve">
        <w:t> </w:t>
      </w:r>
      <w:r>
        <w:t xml:space="preserve">134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legalize wagering in this state on certain sporting events.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 Article III, Texas Constitution, is amended by amending Subsection (a) and adding Subsection (f)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w:t>
      </w:r>
      <w:r>
        <w:rPr>
          <w:strike/>
        </w:rPr>
        <w:t xml:space="preserve">and</w:t>
      </w:r>
      <w:r>
        <w:t xml:space="preserve">] (e)</w:t>
      </w:r>
      <w:r>
        <w:rPr>
          <w:u w:val="single"/>
        </w:rPr>
        <w:t xml:space="preserve">, and (f)</w:t>
      </w:r>
      <w:r>
        <w:t xml:space="preserve">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law may authorize and regulate the placing of wagers on sporting events. A law enacted under this subsection may authorize the conduct of sports wagering only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sports team, as defined by general law, in existence on January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sports organization that held in this state before January 1, 2025, sanctioned annual professional golf tournaments as part of a national tour of professional golfers;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1 racetrack in operation on January 1, 2025;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designee of an entity described by Subdivisions (1)-(3)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authorizing the legislature to legalize wagering in this state on certain sporting events."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