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H.J.R.</w:t>
      </w:r>
      <w:r xml:space="preserve">
        <w:t> </w:t>
      </w:r>
      <w:r>
        <w:t xml:space="preserve">No.</w:t>
      </w:r>
      <w:r xml:space="preserve">
        <w:t> </w:t>
      </w:r>
      <w:r>
        <w:t xml:space="preserve">137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be submitted to the voters of Texas for approval, authorizing the legislature to strictly regulate and authorize casino gaming and sports wagering by general law and establishing certain requirements for such law, including imposition of a tax on casino gaming and sports wagering revenue, requiring licensing of casino gaming and sports wagering operators, and requiring license application fees.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 Article III, Texas Constitution,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w:t>
      </w:r>
      <w:r>
        <w:rPr>
          <w:strike/>
        </w:rPr>
        <w:t xml:space="preserve">and</w:t>
      </w:r>
      <w:r>
        <w:t xml:space="preserve">] (e)</w:t>
      </w:r>
      <w:r>
        <w:rPr>
          <w:u w:val="single"/>
        </w:rPr>
        <w:t xml:space="preserve">, and (f)</w:t>
      </w:r>
      <w:r>
        <w:t xml:space="preserve">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general law may authorize and strictly regulate casino gaming and sports wagering.  At a minimum, the law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define the activities that constitute casino gaming and sports wagering;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licenses and license application fees for casino gaming and sports wagering operators;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determine where licensed casino facilities may be located and where sports wagering may be conducted;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restrict the conduct of casino gaming, as defined by the Legislature, to onsite casino gaming at a licensed casino gaming operator's physical premises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limit the total number of casino gaming licenses and locations with initial license terms of at least 40 years to no more than 10 licensed facilities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impose a tax on casino gaming and sports wagering revenue not to exceed 15 percent;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prohibit the imposition of any additional tax or fee by the state or political subdivision of the state on casino gaming revenue or sports wagering revenue, or on the non-casino-gaming revenue or non-sports-wagering revenue of a license holder's operations, other than a tax or fee generally applicable to a business operating in this state;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establish a process for this state to negotiate in good faith and execute in a timely manner, a Tribal-State gaming compact with any of the three existing federally recognized Indian tribes with Indian lands in this state to conduct Class III Indian gaming on a Tribe's existing lands, and as prescribed by the Indian Gaming Regulatory Act (Pub. L. 100-479), consistent with the provisions in 25 U.S.C. Section 2710(d), and upon the request of the tribe.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3, 2025.  The ballot shall be printed to permit voting for or against the proposition:</w:t>
      </w:r>
      <w:r>
        <w:t xml:space="preserve"> "The constitutional amendment to permit the Legislature, by general law, to authorize and regulate casino gaming and sports wagering at a limited number of locations in this state, require licenses and license application fees for operators, and impose a tax on casino gaming and sports wagering revenue."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