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consumable hemp products and the hemp-derived cannabinoids contained in those products; requiring a registration; imposing fees; creating criminal offenses;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443, Health and Safety Code, is amended by adding Section 443.0025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443.0025.</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liquid chromatography, or a similar method that includes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w:t>
      </w:r>
      <w:r xml:space="preserve">
        <w:t> </w:t>
      </w:r>
      <w:r xml:space="preserve">
        <w:t>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443.202(b)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 person may not sell, offer for sale, possess, distribute, or transport a cannabinoid oil[</w:t>
      </w:r>
      <w:r>
        <w:rPr>
          <w:strike/>
        </w:rPr>
        <w:t xml:space="preserve">, including cannabidiol oil,</w:t>
      </w:r>
      <w:r>
        <w:t xml:space="preserve">] in this state:</w:t>
      </w:r>
    </w:p>
    <w:p w:rsidR="003F3435" w:rsidRDefault="0032493E">
      <w:pPr>
        <w:spacing w:line="480" w:lineRule="auto"/>
        <w:ind w:firstLine="1440"/>
        <w:jc w:val="both"/>
      </w:pPr>
      <w:r>
        <w:t xml:space="preserve">(1)</w:t>
      </w:r>
      <w:r xml:space="preserve">
        <w:t> </w:t>
      </w:r>
      <w:r xml:space="preserve">
        <w:t> </w:t>
      </w:r>
      <w:r>
        <w:t xml:space="preserve">if the oil contains any material extracted or derived from the plant Cannabis sativa L., other than from hemp produced in compliance with 7 U.S.C. Chapter 38, Subchapter VII; and</w:t>
      </w:r>
    </w:p>
    <w:p w:rsidR="003F3435" w:rsidRDefault="0032493E">
      <w:pPr>
        <w:spacing w:line="480" w:lineRule="auto"/>
        <w:ind w:firstLine="1440"/>
        <w:jc w:val="both"/>
      </w:pPr>
      <w:r>
        <w:t xml:space="preserve">(2)</w:t>
      </w:r>
      <w:r xml:space="preserve">
        <w:t> </w:t>
      </w:r>
      <w:r xml:space="preserve">
        <w:t> </w:t>
      </w:r>
      <w:r>
        <w:t xml:space="preserve">unless a sample representing the oil has been tested by a laboratory that is accredited by an independent accreditation body in accordance with International Organization for Standardization ISO/IEC 17025 or a comparable or successor standard and found to </w:t>
      </w:r>
      <w:r>
        <w:rPr>
          <w:u w:val="single"/>
        </w:rPr>
        <w:t xml:space="preserve">not contain any amount of a cannabinoid other than cannabidiol or cannabigerol</w:t>
      </w:r>
      <w:r>
        <w:t xml:space="preserve"> [</w:t>
      </w:r>
      <w:r>
        <w:rPr>
          <w:strike/>
        </w:rPr>
        <w:t xml:space="preserve">have a delta-9 tetrahydrocannabinol concentration of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department [</w:t>
      </w:r>
      <w:r>
        <w:rPr>
          <w:strike/>
        </w:rPr>
        <w:t xml:space="preserve">and the Department of Public Safety</w:t>
      </w:r>
      <w:r>
        <w:t xml:space="preserve">] shall establish a process for the [</w:t>
      </w:r>
      <w:r>
        <w:rPr>
          <w:strike/>
        </w:rPr>
        <w:t xml:space="preserve">random</w:t>
      </w:r>
      <w:r>
        <w:t xml:space="preserve">] testing of cannabinoid oil[</w:t>
      </w:r>
      <w:r>
        <w:rPr>
          <w:strike/>
        </w:rPr>
        <w:t xml:space="preserve">, including cannabidiol oil,</w:t>
      </w:r>
      <w:r>
        <w:t xml:space="preserve">] at various retail and other establishments that sell, offer for sale, distribute, or use the oil to ensure that the oil:</w:t>
      </w:r>
    </w:p>
    <w:p w:rsidR="003F3435" w:rsidRDefault="0032493E">
      <w:pPr>
        <w:spacing w:line="480" w:lineRule="auto"/>
        <w:ind w:firstLine="1440"/>
        <w:jc w:val="both"/>
      </w:pPr>
      <w:r>
        <w:t xml:space="preserve">(1)</w:t>
      </w:r>
      <w:r xml:space="preserve">
        <w:t> </w:t>
      </w:r>
      <w:r xml:space="preserve">
        <w:t> </w:t>
      </w:r>
      <w:r>
        <w:t xml:space="preserve">does not contain harmful ingredients;</w:t>
      </w:r>
    </w:p>
    <w:p w:rsidR="003F3435" w:rsidRDefault="0032493E">
      <w:pPr>
        <w:spacing w:line="480" w:lineRule="auto"/>
        <w:ind w:firstLine="1440"/>
        <w:jc w:val="both"/>
      </w:pPr>
      <w:r>
        <w:t xml:space="preserve">(2)</w:t>
      </w:r>
      <w:r xml:space="preserve">
        <w:t> </w:t>
      </w:r>
      <w:r xml:space="preserve">
        <w:t> </w:t>
      </w:r>
      <w:r>
        <w:t xml:space="preserve">is produced in compliance with 7 U.S.C. Chapter 38, Subchapter VII; and</w:t>
      </w:r>
    </w:p>
    <w:p w:rsidR="003F3435" w:rsidRDefault="0032493E">
      <w:pPr>
        <w:spacing w:line="480" w:lineRule="auto"/>
        <w:ind w:firstLine="1440"/>
        <w:jc w:val="both"/>
      </w:pPr>
      <w:r>
        <w:t xml:space="preserve">(3)</w:t>
      </w:r>
      <w:r xml:space="preserve">
        <w:t> </w:t>
      </w:r>
      <w:r xml:space="preserve">
        <w:t> </w:t>
      </w:r>
      <w:r>
        <w:rPr>
          <w:u w:val="single"/>
        </w:rPr>
        <w:t xml:space="preserve">does not contain any amount of a cannabinoid other than cannabidiol or cannabigerol</w:t>
      </w:r>
      <w:r>
        <w:t xml:space="preserve"> [</w:t>
      </w:r>
      <w:r>
        <w:rPr>
          <w:strike/>
        </w:rPr>
        <w:t xml:space="preserve">has a delta-9 tetrahydrocannabinol concentration of not more than 0.3 percent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443.2025, Health and Safety Code, is amended by amending Subsections (b), (d), and (f) and adding Subsections (h) and (i)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provide to the Department of Public Safety the information provided to the department under Subsection (g)(2).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selling the product to a retailer: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or is mixed with any alcohol, tobacco, nicotine, kratom, kava, mushrooms, or a derivative of any of those items.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SALE OF CONSUMABLE HEMP PRODUCTS.</w:t>
      </w:r>
      <w:r xml:space="preserve">
        <w:t> </w:t>
      </w:r>
      <w:r xml:space="preserve">
        <w:t> </w:t>
      </w:r>
      <w:r>
        <w:t xml:space="preserve">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w:t>
      </w:r>
      <w:r>
        <w:rPr>
          <w:strike/>
        </w:rPr>
        <w:t xml:space="preserve">cannabinoids, including</w:t>
      </w:r>
      <w:r>
        <w:t xml:space="preserve">] cannabidiol </w:t>
      </w:r>
      <w:r>
        <w:rPr>
          <w:u w:val="single"/>
        </w:rPr>
        <w:t xml:space="preserve">and cannabigerol</w:t>
      </w:r>
      <w:r>
        <w:t xml:space="preserve">[</w:t>
      </w:r>
      <w:r>
        <w:rPr>
          <w:strike/>
        </w:rPr>
        <w:t xml:space="preserve">,</w:t>
      </w:r>
      <w:r>
        <w:t xml:space="preserve">]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w:t>
      </w:r>
      <w:r>
        <w:rPr>
          <w:strike/>
        </w:rPr>
        <w:t xml:space="preserve">one or more</w:t>
      </w:r>
      <w:r>
        <w:t xml:space="preserve">] hemp-derived [</w:t>
      </w:r>
      <w:r>
        <w:rPr>
          <w:strike/>
        </w:rPr>
        <w:t xml:space="preserve">cannabinoids, such as</w:t>
      </w:r>
      <w:r>
        <w:t xml:space="preserve">] cannabidiol </w:t>
      </w:r>
      <w:r>
        <w:rPr>
          <w:u w:val="single"/>
        </w:rPr>
        <w:t xml:space="preserve">or cannabigerol</w:t>
      </w:r>
      <w:r>
        <w:t xml:space="preserve">[</w:t>
      </w:r>
      <w:r>
        <w:rPr>
          <w:strike/>
        </w:rPr>
        <w:t xml:space="preserve">,</w:t>
      </w:r>
      <w:r>
        <w:t xml:space="preserve">] intended for ingestion are considered foods, not controlled substances or adulterated products;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443.205[</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processing or manufacturing of a consumable hemp product for smoking is prohibited</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E, Chapter 443, Health and Safety Code, is amended by adding Sections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OF CONSUMABLE HEMP PRODUCT OR PACKAGING IN MANNER ATTRACTIVE TO MINORS.  (a) </w:t>
      </w:r>
      <w:r>
        <w:rPr>
          <w:u w:val="single"/>
        </w:rPr>
        <w:t xml:space="preserve"> </w:t>
      </w:r>
      <w:r>
        <w:rPr>
          <w:u w:val="single"/>
        </w:rPr>
        <w:t xml:space="preserve">A person commits an offense if the person markets, advertises, sells, or causes to be sold an edible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children;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 or in a manner similar to,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packaged and labeled in the manner provided by this subchapter</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(a)  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of a store in which consumable hemp products that contain or are marketed as containing hemp-derived cannabinoids are sold, or an employee of the owner, may not display consumable hemp products for sale adjacent to products that are legal for children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 443.201; and</w:t>
      </w:r>
    </w:p>
    <w:p w:rsidR="003F3435" w:rsidRDefault="0032493E">
      <w:pPr>
        <w:spacing w:line="480" w:lineRule="auto"/>
        <w:ind w:firstLine="1440"/>
        <w:jc w:val="both"/>
      </w:pPr>
      <w:r>
        <w:t xml:space="preserve">(3)</w:t>
      </w:r>
      <w:r xml:space="preserve">
        <w:t> </w:t>
      </w:r>
      <w:r xml:space="preserve">
        <w:t> </w:t>
      </w:r>
      <w:r>
        <w:t xml:space="preserve">Sections 443.202(a) and 443.2025(a) and (c).</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Not later than December 1, 2025,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or possession of a consumable hemp product that occurs on or after the effective date of this Act.  The manufacture, sale, delivery, or possession of a consumable hemp product that occurs before the effective date of this Act is governed by the law in effect on the date the  manufacture, sale, delivery,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January 1, 2026.</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