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products derived from hemp, including consumable hemp products and the hemp-derived cannabinoids contained in those products; requiring occupational licenses and permits;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w:t>
      </w:r>
      <w:r>
        <w:rPr>
          <w:u w:val="single"/>
        </w:rPr>
        <w:t xml:space="preserve"> </w:t>
      </w:r>
      <w:r>
        <w:rPr>
          <w:u w:val="single"/>
        </w:rPr>
        <w:t xml:space="preserve">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liquid chromatography, or a similar method that includes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443.202(b)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w:t>
      </w:r>
      <w:r>
        <w:rPr>
          <w:strike/>
        </w:rPr>
        <w:t xml:space="preserve">, including cannabidiol oil,</w:t>
      </w:r>
      <w:r>
        <w:t xml:space="preserve">]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w:t>
      </w:r>
      <w:r>
        <w:rPr>
          <w:u w:val="single"/>
        </w:rPr>
        <w:t xml:space="preserve">not contain any amount of a cannabinoid other than cannabidiol or cannabigerol</w:t>
      </w:r>
      <w:r>
        <w:t xml:space="preserve"> [</w:t>
      </w:r>
      <w:r>
        <w:rPr>
          <w:strike/>
        </w:rPr>
        <w:t xml:space="preserve">have a delta-9 tetrahydrocannabinol concentration of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department [</w:t>
      </w:r>
      <w:r>
        <w:rPr>
          <w:strike/>
        </w:rPr>
        <w:t xml:space="preserve">and the Department of Public Safety</w:t>
      </w:r>
      <w:r>
        <w:t xml:space="preserve">] shall establish a process for the [</w:t>
      </w:r>
      <w:r>
        <w:rPr>
          <w:strike/>
        </w:rPr>
        <w:t xml:space="preserve">random</w:t>
      </w:r>
      <w:r>
        <w:t xml:space="preserve">] testing of cannabinoid oil[</w:t>
      </w:r>
      <w:r>
        <w:rPr>
          <w:strike/>
        </w:rPr>
        <w:t xml:space="preserve">, including cannabidiol oil,</w:t>
      </w:r>
      <w:r>
        <w:t xml:space="preserve">]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rPr>
          <w:u w:val="single"/>
        </w:rPr>
        <w:t xml:space="preserve">does not contain any amount of a cannabinoid other than cannabidiol or cannabigerol</w:t>
      </w:r>
      <w:r>
        <w:t xml:space="preserve"> [</w:t>
      </w:r>
      <w:r>
        <w:rPr>
          <w:strike/>
        </w:rPr>
        <w:t xml:space="preserve">has a delta-9 tetrahydrocannabinol concentration of not more than 0.3 percent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443.2025, Health and Safety Code, is amended by amending Subsections (b), (d), and (f) and adding Subsection (h)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selling the product to a retailer: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any alcohol, tobacco, nicotine, kratom, kava, mushrooms, or a derivative of any of those items.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w:t>
      </w:r>
      <w:r>
        <w:rPr>
          <w:strike/>
        </w:rPr>
        <w:t xml:space="preserve">cannabinoids, including</w:t>
      </w:r>
      <w:r>
        <w:t xml:space="preserve">] cannabidiol </w:t>
      </w:r>
      <w:r>
        <w:rPr>
          <w:u w:val="single"/>
        </w:rPr>
        <w:t xml:space="preserve">and cannabigerol</w:t>
      </w:r>
      <w:r>
        <w:t xml:space="preserve">[</w:t>
      </w:r>
      <w:r>
        <w:rPr>
          <w:strike/>
        </w:rPr>
        <w:t xml:space="preserve">,</w:t>
      </w:r>
      <w:r>
        <w:t xml:space="preserve">]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w:t>
      </w:r>
      <w:r>
        <w:rPr>
          <w:strike/>
        </w:rPr>
        <w:t xml:space="preserve">one or more</w:t>
      </w:r>
      <w:r>
        <w:t xml:space="preserve">] hemp-derived [</w:t>
      </w:r>
      <w:r>
        <w:rPr>
          <w:strike/>
        </w:rPr>
        <w:t xml:space="preserve">cannabinoids, such as</w:t>
      </w:r>
      <w:r>
        <w:t xml:space="preserve">] cannabidiol </w:t>
      </w:r>
      <w:r>
        <w:rPr>
          <w:u w:val="single"/>
        </w:rPr>
        <w:t xml:space="preserve">or cannabigerol</w:t>
      </w:r>
      <w:r>
        <w:t xml:space="preserve">[</w:t>
      </w:r>
      <w:r>
        <w:rPr>
          <w:strike/>
        </w:rPr>
        <w:t xml:space="preserve">,</w:t>
      </w:r>
      <w:r>
        <w:t xml:space="preserve">]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E, Chapter 443, Health and Safety Code, is amended by adding Sections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OF CONSUMABLE HEMP PRODUCT OR PACKAGING IN MANNER ATTRACTIVE TO MINORS.  (a) </w:t>
      </w:r>
      <w:r>
        <w:rPr>
          <w:u w:val="single"/>
        </w:rPr>
        <w:t xml:space="preserve"> </w:t>
      </w:r>
      <w:r>
        <w:rPr>
          <w:u w:val="single"/>
        </w:rPr>
        <w:t xml:space="preserve">A person commits an offense if the person markets, advertises, sells, or causes to be sold an edible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 or in a manner similar to,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packaged and labeled in the manner provided by this subchapter</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a store in which consumable hemp products that contain or are marketed as containing hemp-derived cannabinoids are sold, or an employee of the owner, may not display consumable hemp products for sale adjacent to products that are legal for children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 443.201; and</w:t>
      </w:r>
    </w:p>
    <w:p w:rsidR="003F3435" w:rsidRDefault="0032493E">
      <w:pPr>
        <w:spacing w:line="480" w:lineRule="auto"/>
        <w:ind w:firstLine="1440"/>
        <w:jc w:val="both"/>
      </w:pPr>
      <w:r>
        <w:t xml:space="preserve">(3)</w:t>
      </w:r>
      <w:r xml:space="preserve">
        <w:t> </w:t>
      </w:r>
      <w:r xml:space="preserve">
        <w:t> </w:t>
      </w:r>
      <w:r>
        <w:t xml:space="preserve">Sections 443.202(a) and 443.2025(a) and (c).</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December 1, 2025,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or possession of a consumable hemp product that occurs on or after the effective date of this Act.  The manufacture, sale, delivery, or possession of a consumable hemp product that occurs before the effective date of this Act is governed by the law in effect on the date the  manufacture, sale, delivery,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January 1, 2026.</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Senate on March</w:t>
      </w:r>
      <w:r xml:space="preserve">
        <w:t> </w:t>
      </w:r>
      <w:r>
        <w:t xml:space="preserve">19,</w:t>
      </w:r>
      <w:r xml:space="preserve">
        <w:t> </w:t>
      </w:r>
      <w:r>
        <w:t xml:space="preserve">2025, by the following vote:  Yeas</w:t>
      </w:r>
      <w:r xml:space="preserve">
        <w:t> </w:t>
      </w:r>
      <w:r>
        <w:t xml:space="preserve">26, Nays</w:t>
      </w:r>
      <w:r xml:space="preserve">
        <w:t> </w:t>
      </w:r>
      <w:r>
        <w:t xml:space="preserve">5; and that the Senate concurred in House amendments on May</w:t>
      </w:r>
      <w:r xml:space="preserve">
        <w:t> </w:t>
      </w:r>
      <w:r>
        <w:t xml:space="preserve">25,</w:t>
      </w:r>
      <w:r xml:space="preserve">
        <w:t> </w:t>
      </w:r>
      <w:r>
        <w:t xml:space="preserve">2025, by the following vote:  Yeas</w:t>
      </w:r>
      <w:r xml:space="preserve">
        <w:t> </w:t>
      </w:r>
      <w:r>
        <w:t xml:space="preserve">25, Nays</w:t>
      </w:r>
      <w:r xml:space="preserve">
        <w:t> </w:t>
      </w:r>
      <w:r>
        <w:t xml:space="preserve">6.</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House, with amendments, on May</w:t>
      </w:r>
      <w:r xml:space="preserve">
        <w:t> </w:t>
      </w:r>
      <w:r>
        <w:t xml:space="preserve">22,</w:t>
      </w:r>
      <w:r xml:space="preserve">
        <w:t> </w:t>
      </w:r>
      <w:r>
        <w:t xml:space="preserve">2025, by the following vote:  Yeas</w:t>
      </w:r>
      <w:r xml:space="preserve">
        <w:t> </w:t>
      </w:r>
      <w:r>
        <w:t xml:space="preserve">87, Nays</w:t>
      </w:r>
      <w:r xml:space="preserve">
        <w:t> </w:t>
      </w:r>
      <w:r>
        <w:t xml:space="preserve">54,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