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89R20803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5</w:t>
      </w:r>
    </w:p>
    <w:p w:rsidR="003F3435" w:rsidRDefault="0032493E">
      <w:pPr>
        <w:ind w:firstLine="720"/>
        <w:jc w:val="both"/>
      </w:pPr>
      <w:r>
        <w:t xml:space="preserve">(Craddick, Thompson, Hunter, Bonnen, Curry,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5:</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Alzheimer's disease, Parkinson's disease, and related disorders to improve the health of residents of this state, enhance the potential for a medical or scientific breakthrough in research on dementia, Alzheimer's disease, Parkinson's disease, and related disorders, and enhance the research superiority of this state regarding dementia, Alzheimer's disease, Parkinson's disease,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Alzheimer's disease, Parkinson's disease, and related disorders, strategies for prevention of dementia, Alzheimer's disease, Parkinson's disease,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Alzheimer's disease, Parkinson's disease,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Alzheimer's disease, Parkinson's disease,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Alzheimer's disease, Parkinson's disease,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Alzheimer's disease, Parkinson's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Alzheimer's disease, Parkinson's disease,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Alzheimer's disease, Parkinson's disease,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w:t>
      </w:r>
      <w:r>
        <w:rPr>
          <w:u w:val="single"/>
        </w:rPr>
        <w:t xml:space="preserve"> </w:t>
      </w:r>
      <w:r>
        <w:rPr>
          <w:u w:val="single"/>
        </w:rPr>
        <w:t xml:space="preserve">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Alzheimer's disease, Parkinson's disease,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Alzheimer's disease, Parkinson's disease, or related disorders or family members or caregivers of patients with dementia, Alzheimer's disease, Parkinson's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or the person's spouse 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or the person's spouse owns or controls, directly or indirectly, an interest in an entity receiving money from the institute;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or the person's spouse uses or receives a substantial amount of tangible goods, services, or money from the institute, other than reimbursement authorized by this chapter for oversight committee membership, attendance, or expenses;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is a member of the Cancer Prevention and Research Institute of Texas Oversight Committee established under Section 102.101.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REMOVAL.  (a)</w:t>
      </w:r>
      <w:r>
        <w:rPr>
          <w:u w:val="single"/>
        </w:rPr>
        <w:t xml:space="preserve"> </w:t>
      </w:r>
      <w:r>
        <w:rPr>
          <w:u w:val="single"/>
        </w:rPr>
        <w:t xml:space="preserve"> </w:t>
      </w:r>
      <w:r>
        <w:rPr>
          <w:u w:val="single"/>
        </w:rPr>
        <w:t xml:space="preserve">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w:t>
      </w:r>
      <w:r>
        <w:rPr>
          <w:u w:val="single"/>
        </w:rPr>
        <w:t xml:space="preserve"> </w:t>
      </w:r>
      <w:r>
        <w:rPr>
          <w:u w:val="single"/>
        </w:rPr>
        <w:t xml:space="preserve"> </w:t>
      </w:r>
      <w:r>
        <w:rPr>
          <w:u w:val="single"/>
        </w:rPr>
        <w:t xml:space="preserve">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w:t>
      </w:r>
      <w:r>
        <w:rPr>
          <w:u w:val="single"/>
        </w:rPr>
        <w:t xml:space="preserve"> </w:t>
      </w:r>
      <w:r>
        <w:rPr>
          <w:u w:val="single"/>
        </w:rPr>
        <w:t xml:space="preserve"> </w:t>
      </w:r>
      <w:r>
        <w:rPr>
          <w:u w:val="single"/>
        </w:rPr>
        <w:t xml:space="preserve">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w:t>
      </w:r>
      <w:r>
        <w:rPr>
          <w:u w:val="single"/>
        </w:rPr>
        <w:t xml:space="preserve"> </w:t>
      </w:r>
      <w:r>
        <w:rPr>
          <w:u w:val="single"/>
        </w:rPr>
        <w:t xml:space="preserve"> </w:t>
      </w:r>
      <w:r>
        <w:rPr>
          <w:u w:val="single"/>
        </w:rPr>
        <w:t xml:space="preserve">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w:t>
      </w:r>
      <w:r>
        <w:rPr>
          <w:u w:val="single"/>
        </w:rPr>
        <w:t xml:space="preserve"> </w:t>
      </w:r>
      <w:r>
        <w:rPr>
          <w:u w:val="single"/>
        </w:rPr>
        <w:t xml:space="preserve"> </w:t>
      </w:r>
      <w:r>
        <w:rPr>
          <w:u w:val="single"/>
        </w:rPr>
        <w:t xml:space="preserve">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Alzheimer's disease, Parkinson's disease, or related disorders, including research, health care, dementia, Alzheimer's disease, and Parkinson's disease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w:t>
      </w:r>
      <w:r>
        <w:rPr>
          <w:u w:val="single"/>
        </w:rPr>
        <w:t xml:space="preserve"> </w:t>
      </w:r>
      <w:r>
        <w:rPr>
          <w:u w:val="single"/>
        </w:rPr>
        <w:t xml:space="preserve"> </w:t>
      </w:r>
      <w:r>
        <w:rPr>
          <w:u w:val="single"/>
        </w:rPr>
        <w:t xml:space="preserve">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w:t>
      </w:r>
      <w:r>
        <w:rPr>
          <w:u w:val="single"/>
        </w:rPr>
        <w:t xml:space="preserve"> </w:t>
      </w:r>
      <w:r>
        <w:rPr>
          <w:u w:val="single"/>
        </w:rPr>
        <w:t xml:space="preserve"> </w:t>
      </w:r>
      <w:r>
        <w:rPr>
          <w:u w:val="single"/>
        </w:rPr>
        <w:t xml:space="preserve">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Alzheimer's disease, Parkinson's disease,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w:t>
      </w:r>
      <w:r>
        <w:rPr>
          <w:u w:val="single"/>
        </w:rPr>
        <w:t xml:space="preserve"> </w:t>
      </w:r>
      <w:r>
        <w:rPr>
          <w:u w:val="single"/>
        </w:rPr>
        <w:t xml:space="preserve"> </w:t>
      </w:r>
      <w:r>
        <w:rPr>
          <w:u w:val="single"/>
        </w:rPr>
        <w:t xml:space="preserve">The oversight committee, as necessary, may create additional ad hoc advisory committees composed of experts to advise the oversight committee on issues relating to prevention of or research on dementia, Alzheimer's disease, Parkinson's disease, and related disorders or other issues related to dementia, Alzheimer's disease, Parkinson's disease,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w:t>
      </w:r>
      <w:r>
        <w:rPr>
          <w:u w:val="single"/>
        </w:rPr>
        <w:t xml:space="preserve"> </w:t>
      </w:r>
      <w:r>
        <w:rPr>
          <w:u w:val="single"/>
        </w:rPr>
        <w:t xml:space="preserve">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w:t>
      </w:r>
      <w:r>
        <w:rPr>
          <w:u w:val="single"/>
        </w:rPr>
        <w:t xml:space="preserve"> </w:t>
      </w:r>
      <w:r>
        <w:rPr>
          <w:u w:val="single"/>
        </w:rPr>
        <w:t xml:space="preserve"> </w:t>
      </w:r>
      <w:r>
        <w:rPr>
          <w:u w:val="single"/>
        </w:rPr>
        <w:t xml:space="preserve">In this subchapter, "fund" means the Dementia Prevention and Research Fund established under Section 68, Article III, Texas Constitution.  The fund is a special fund in the treasury outside the general revenue fund to be administered by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Alzheimer's disease, Parkinson's disease,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AUTHORIZED USE OF GRANT MONEY; LIMITATIONS.  (a)</w:t>
      </w:r>
      <w:r>
        <w:rPr>
          <w:u w:val="single"/>
        </w:rPr>
        <w:t xml:space="preserve"> </w:t>
      </w:r>
      <w:r>
        <w:rPr>
          <w:u w:val="single"/>
        </w:rPr>
        <w:t xml:space="preserve"> </w:t>
      </w:r>
      <w:r>
        <w:rPr>
          <w:u w:val="single"/>
        </w:rPr>
        <w:t xml:space="preserve">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Alzheimer's disease, Parkinson's disease,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Alzheimer's disease, Parkinson's disease,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Alzheimer's disease, Parkinson's disease,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w:t>
      </w:r>
      <w:r>
        <w:rPr>
          <w:u w:val="single"/>
        </w:rPr>
        <w:t xml:space="preserve"> </w:t>
      </w:r>
      <w:r>
        <w:rPr>
          <w:u w:val="single"/>
        </w:rPr>
        <w:t xml:space="preserve">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u w:val="single"/>
        </w:rPr>
        <w:t xml:space="preserve"> </w:t>
      </w:r>
      <w:r>
        <w:rPr>
          <w:u w:val="single"/>
        </w:rPr>
        <w:t xml:space="preserve">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w:t>
      </w:r>
      <w:r>
        <w:rPr>
          <w:u w:val="single"/>
        </w:rPr>
        <w:t xml:space="preserve"> </w:t>
      </w:r>
      <w:r>
        <w:rPr>
          <w:u w:val="single"/>
        </w:rPr>
        <w:t xml:space="preserve">The oversight committee shall adopt rules governing the waiver of the conflict-of-interest requirements of this chapter under exceptional circumstances for an oversight committee member, program integration committee member, peer review committee member, or institute employee.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w:t>
      </w:r>
      <w:r>
        <w:rPr>
          <w:u w:val="single"/>
        </w:rPr>
        <w:t xml:space="preserve"> </w:t>
      </w:r>
      <w:r>
        <w:rPr>
          <w:u w:val="single"/>
        </w:rPr>
        <w:t xml:space="preserve">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w:t>
      </w:r>
      <w:r>
        <w:rPr>
          <w:u w:val="single"/>
        </w:rPr>
        <w:t xml:space="preserve"> </w:t>
      </w:r>
      <w:r>
        <w:rPr>
          <w:u w:val="single"/>
        </w:rPr>
        <w:t xml:space="preserve">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w:t>
      </w:r>
      <w:r>
        <w:rPr>
          <w:u w:val="single"/>
        </w:rPr>
        <w:t xml:space="preserve"> </w:t>
      </w:r>
      <w:r>
        <w:rPr>
          <w:u w:val="single"/>
        </w:rP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w:t>
      </w:r>
      <w:r>
        <w:rPr>
          <w:u w:val="single"/>
        </w:rPr>
        <w:t xml:space="preserve"> </w:t>
      </w:r>
      <w:r>
        <w:rPr>
          <w:u w:val="single"/>
        </w:rPr>
        <w:t xml:space="preserve">The chief executive officer or, if applicable, the oversight committee's presiding officer shall make a determination regarding the existence of an unreported conflict of interest described by Section 101A.251 or other impropriety or self-dealing. </w:t>
      </w:r>
      <w:r>
        <w:rPr>
          <w:u w:val="single"/>
        </w:rPr>
        <w:t xml:space="preserve"> </w:t>
      </w:r>
      <w:r>
        <w:rPr>
          <w:u w:val="single"/>
        </w:rPr>
        <w:t xml:space="preserve">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Alzheimer's disease, Parkinson's disease,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Alzheimer's disease, Parkinson's disease,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Alzheimer's disease, Parkinson's disease,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Alzheimer's disease, Parkinson's disease,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w:t>
      </w:r>
      <w:r>
        <w:rPr>
          <w:u w:val="single"/>
        </w:rPr>
        <w:t xml:space="preserve"> </w:t>
      </w:r>
      <w:r>
        <w:rPr>
          <w:u w:val="single"/>
        </w:rPr>
        <w:t xml:space="preserve">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Alzheimer's disease, Parkinson's disease,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(c)</w:t>
      </w:r>
      <w:r xml:space="preserve">
        <w:t> </w:t>
      </w:r>
      <w:r xml:space="preserve">
        <w:t> </w:t>
      </w:r>
      <w:r>
        <w:t xml:space="preserve">Notwithstanding Section 101A.104, Health and Safety Code, as added by this Act, the governor shall designate a member the governor appoints under Subsection (b) of this section to serve as the initial presiding officer of the Dementia Prevention and Research Institute of Texas Oversight Committee.</w:t>
      </w:r>
    </w:p>
    <w:p w:rsidR="003F3435" w:rsidRDefault="0032493E">
      <w:pPr>
        <w:spacing w:line="480" w:lineRule="auto"/>
        <w:ind w:firstLine="720"/>
        <w:jc w:val="both"/>
      </w:pPr>
      <w:r>
        <w:t xml:space="preserve">(d)</w:t>
      </w:r>
      <w:r xml:space="preserve">
        <w:t> </w:t>
      </w:r>
      <w:r xml:space="preserve">
        <w:t> </w:t>
      </w:r>
      <w:r>
        <w:t xml:space="preserve">Not later than January 31, 2026, the Dementia Prevention and Research Institute of Texas Oversight Committee established under Section 101A.101, Health and Safety Code, as added by this Act, shall hold its first meeting at a location determined by the presiding officer of the Dementia Prevention and Research Institute of Texas Oversight Committee designated under Subsection (c)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Alzheimer's disease, Parkinson's disease, and related disorders in this state, and transferring to that fund $3 billion from state general revenue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