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6</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Filed February</w:t>
      </w:r>
      <w:r xml:space="preserve">
        <w:t> </w:t>
      </w:r>
      <w:r>
        <w:t xml:space="preserve">12,</w:t>
      </w:r>
      <w:r xml:space="preserve">
        <w:t> </w:t>
      </w:r>
      <w:r>
        <w:t xml:space="preserve">2025</w:t>
      </w:r>
      <w:r>
        <w:t xml:space="preserve">; February</w:t>
      </w:r>
      <w:r xml:space="preserve">
        <w:t> </w:t>
      </w:r>
      <w:r>
        <w:t xml:space="preserve">13,</w:t>
      </w:r>
      <w:r xml:space="preserve">
        <w:t> </w:t>
      </w:r>
      <w:r>
        <w:t xml:space="preserve">2025, read first time and referred to Committee on Business &amp; Commerce; March</w:t>
      </w:r>
      <w:r xml:space="preserve">
        <w:t> </w:t>
      </w:r>
      <w:r>
        <w:t xml:space="preserve">13,</w:t>
      </w:r>
      <w:r xml:space="preserve">
        <w:t> </w:t>
      </w:r>
      <w:r>
        <w:t xml:space="preserve">2025, reported adversely, with favorable Committee Substitute by the following vote:</w:t>
      </w:r>
      <w:r>
        <w:t xml:space="preserve"> </w:t>
      </w:r>
      <w:r>
        <w:t xml:space="preserve"> </w:t>
      </w:r>
      <w:r>
        <w:t xml:space="preserve">Yeas 10, Nays 0; March</w:t>
      </w:r>
      <w:r xml:space="preserve">
        <w:t> </w:t>
      </w:r>
      <w:r>
        <w:t xml:space="preserve">13,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right="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electricity planning and infrastructure costs for large loads.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35.004, Utilities Code, is amended by adding Subsections (c-1) and (c-2)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by rule shall ensure that a large load customer who is subject to the standards adopted under Section 37.0561 contributes to the recovery of the interconnecting electric utility's costs to interconnect the large load to the transmission system.</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electric cooperative or municipally owned utility that has not adopted customer choice shall pass through to a large load customer who is subject to the standards adopted under Section 37.0561 the reasonable costs to interconnect the large load to the transmission system in a manner determined by the electric cooperative or municipally owned utility.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37, Utilities Code, is amended by adding Section 37.0561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37.0561.</w:t>
      </w:r>
      <w:r>
        <w:rPr>
          <w:u w:val="single"/>
        </w:rPr>
        <w:t xml:space="preserve"> </w:t>
      </w:r>
      <w:r>
        <w:rPr>
          <w:u w:val="single"/>
        </w:rPr>
        <w:t xml:space="preserve"> </w:t>
      </w:r>
      <w:r>
        <w:rPr>
          <w:u w:val="single"/>
        </w:rPr>
        <w:t xml:space="preserve">PLANNING REQUIREMENTS FOR LARGE LOADS.  (a)  The commission by rule shall establish standards for interconnecting large load customers in the ERCOT power region in a manner designed to support business development in this state while minimizing the potential for stranded infrastructure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standards must apply only to customers requesting a new or expanded interconnection where the total load at a single site would exceed a demand threshold established by the commission based on the size of loads that significantly impact transmission needs in the ERCOT power region. </w:t>
      </w:r>
      <w:r>
        <w:rPr>
          <w:u w:val="single"/>
        </w:rPr>
        <w:t xml:space="preserve"> </w:t>
      </w:r>
      <w:r>
        <w:rPr>
          <w:u w:val="single"/>
        </w:rPr>
        <w:t xml:space="preserve">The commission shall establish a demand threshold of 75 megawatts unless the commission determines that a lower threshold is necessary to accomplish the purposes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standards must require each large load customer subject to Subsection (b) to disclose to the interconnecting electric utility or municipally owned utility whether the customer is pursuing a substantially similar request for electric service, inside or outside this state, the approval of which would result in the customer materially changing, delaying, or withdrawing the interconnection request. </w:t>
      </w:r>
      <w:r>
        <w:rPr>
          <w:u w:val="single"/>
        </w:rPr>
        <w:t xml:space="preserve"> </w:t>
      </w:r>
      <w:r>
        <w:rPr>
          <w:u w:val="single"/>
        </w:rPr>
        <w:t xml:space="preserve">The disclosure may not require project specific details. </w:t>
      </w:r>
      <w:r>
        <w:rPr>
          <w:u w:val="single"/>
        </w:rPr>
        <w:t xml:space="preserve"> </w:t>
      </w:r>
      <w:r>
        <w:rPr>
          <w:u w:val="single"/>
        </w:rPr>
        <w:t xml:space="preserve">The commission by rule shall prohibit an electric utility or municipally owned utility from selling, sharing, or disclosing information submitted to the utility under this subsection other than a disclosure to the commission or the independent organization certified under Section 39.151 for the ERCOT power region, subject to appropriate confidentiality protections.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standards must require each interconnected large load customer subject to Subsection (b) to disclose to the interconnecting electric utility or municipally owned utility information about the customer's on-site backup generating facilities and require the interconnecting electric utility or municipally owned utility to provide the information to the independent organization certified under Section 39.151 for the ERCOT power region. </w:t>
      </w:r>
      <w:r>
        <w:rPr>
          <w:u w:val="single"/>
        </w:rPr>
        <w:t xml:space="preserve"> </w:t>
      </w:r>
      <w:r>
        <w:rPr>
          <w:u w:val="single"/>
        </w:rPr>
        <w:t xml:space="preserve">For the purposes of this subsection, "on-site backup generating facilities" means generation that is not capable of exporting energy to the ERCOT transmission grid and that, in the aggregate, can serve at least 50 percent of on-site demand.  The independent organization certified under Section 39.151 for the ERCOT power region shall establish a threshold during an energy emergency alert where the organization may, after reasonable notice, direct the applicable electric utility or municipally owned utility to require the large load customer to either deploy the customer's on-site backup generating facility or curtail load.  The independent organization certified under Section 39.151 for the ERCOT power region shall include a deployment under this section as firm load shed when calculating any price adjustments for reliability deployments.  This subsection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or require a violation of any emissions limitation in state or federal law or a violation of any other environmental regulation;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large load customer from participating in a service authorized by Section 39.170(b).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standards must set a flat study fee of at least $100,000 to be paid to the interconnecting electric utility or municipally owned utility for initial transmission screening studies for large loads subject to Subsection (b).  A large load customer that requests additional capacity following the screening study must pay an additional study fee based on the new request. </w:t>
      </w:r>
      <w:r>
        <w:rPr>
          <w:u w:val="single"/>
        </w:rPr>
        <w:t xml:space="preserve"> </w:t>
      </w:r>
      <w:r>
        <w:rPr>
          <w:u w:val="single"/>
        </w:rPr>
        <w:t xml:space="preserve">The interconnecting electric utility or municipally owned utility shall apply any unused portion of the initial transmission screening study fee as a credit toward satisfying financial obligations for procurement or interconnection agreements at the same geographic site.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standards must include a method for a large load customer subject to Subsection (b) to demonstrate site control where the load will be located through an ownership interest, lease, or another legal interest acceptable to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standards must include uniform financial commitment standards for the development of transmission infrastructure needed to serve a large load customer subject to Subsection (b) before an electric utility or municipally owned utility may submit a project for review to the independent organization certified under Section 39.151 for the ERCOT power region based on the large load customer's demand. </w:t>
      </w:r>
      <w:r>
        <w:rPr>
          <w:u w:val="single"/>
        </w:rPr>
        <w:t xml:space="preserve"> </w:t>
      </w:r>
      <w:r>
        <w:rPr>
          <w:u w:val="single"/>
        </w:rPr>
        <w:t xml:space="preserve">The standards must provide that satisfactory proof of financial commitment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security provided on a dollar per megawatt basis as set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contribution in aid of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provided under an agreement that requires a large load customer to pay for significant equipment or services in advance of signing an agreement to establish electric delivery service;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form of financial commitment acceptable to the commission other than those provided by Subdivisions (1)-(3).</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Security provided under Subsection (g)(1) must be refunded, in whole or in part, as the large load customer meets the customer's load ramp milestones and sustains operations for a prescribed period as determined by the commission.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standards must allow the independent organization certified under Section 39.151 for the ERCOT power region to access any information collected from the interconnecting electric utility or municipally owned utility, using procedures established by the commission, to ensure compliance with the standards for transmission planning analysis.  Any customer-specific or competitively sensitive information obtained under this subsection is confidential and not subject to disclosure under Chapter 552, Government Code.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may not limit the authority of a municipally owned utility or an electric cooperative to impose retail electric service requirements for large load customers on their systems in addition to the standards adopted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39.002, Utilities Code, is amended to read as follows:</w:t>
      </w: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APPLICABILITY.  This chapter, other than Sections 39.151, 39.1516, 39.155, 39.157(e), 39.161, 39.162, 39.163, </w:t>
      </w:r>
      <w:r>
        <w:rPr>
          <w:u w:val="single"/>
        </w:rPr>
        <w:t xml:space="preserve">39.169, 39.170,</w:t>
      </w:r>
      <w:r>
        <w:t xml:space="preserve"> 39.203, 39.9051, 39.9052, and 39.914(e), and Subchapters M and N, does not apply to a municipally owned utility or an electric cooperative. </w:t>
      </w:r>
      <w:r>
        <w:t xml:space="preserve"> </w:t>
      </w:r>
      <w:r>
        <w:t xml:space="preserve">Sections 39.157(e) and 39.203 apply only to a municipally owned utility or an electric cooperative that is offering customer choice. </w:t>
      </w:r>
      <w:r>
        <w:t xml:space="preserve"> </w:t>
      </w:r>
      <w:r>
        <w:t xml:space="preserve">If there is a conflict between the specific provisions of this chapter and any other provisions of this title, except for Chapters 40 and 41, the provisions of this chapter control.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39, Utilities Code, is amended by adding Sections 39.169 and 39.170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39.169.</w:t>
      </w:r>
      <w:r>
        <w:rPr>
          <w:u w:val="single"/>
        </w:rPr>
        <w:t xml:space="preserve"> </w:t>
      </w:r>
      <w:r>
        <w:rPr>
          <w:u w:val="single"/>
        </w:rPr>
        <w:t xml:space="preserve"> </w:t>
      </w:r>
      <w:r>
        <w:rPr>
          <w:u w:val="single"/>
        </w:rPr>
        <w:t xml:space="preserve">CO-LOCATION OF RETAIL CUSTOMER WITH EXISTING GENERATION RESOURCE.  (a) </w:t>
      </w:r>
      <w:r>
        <w:rPr>
          <w:u w:val="single"/>
        </w:rPr>
        <w:t xml:space="preserve"> </w:t>
      </w:r>
      <w:r>
        <w:rPr>
          <w:u w:val="single"/>
        </w:rPr>
        <w:t xml:space="preserve">A power generation company, municipally owned utility, or electric cooperative must submit a notice to the commission and the independent organization certified under Section 39.151 for the ERCOT power region before implementing a net metering arrangement between an existing, operating facility registered with the independent organization as a generation resource and a new large load customer as described by Section 37.0561(b).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new net metering arrangement must be requested or consented to by the electric cooperative, electric utility, or municipally owned utility certificated to provide retail electric service at the location. </w:t>
      </w:r>
      <w:r>
        <w:rPr>
          <w:u w:val="single"/>
        </w:rPr>
        <w:t xml:space="preserve"> </w:t>
      </w:r>
      <w:r>
        <w:rPr>
          <w:u w:val="single"/>
        </w:rPr>
        <w:t xml:space="preserve">The electric cooperative, electric utility, or municipally owned utility may withhold consent to a proposal that is consistent with the determination provided under Subsection (c) and applicable law only for a reasonable cause.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 input from the independent organization certified under Section 39.151 for the ERCOT power region, not later than the 180th day after the date the commission receives the notice under Subsection (a), the commission shall approve, deny, or impose reasonable conditions on a proposed net metering arrangement described by Subsection (a) as necessary to maintain system reliability, including transmission security and resource adequacy impacts.  The conditions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retail customer who is served behind-the-meter to reduce load during certain events;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generation resource to make capacity available to the ERCOT power region during certain events;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that the owner of the generation resource may be held liable for stranded or underutilized transmission assets resulting from the behind-the-meter operation.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does not approve, deny, or impose reasonable conditions on a proposed net metering arrangement before the expiration of the deadline established by Subsection (c), the commission is considered to have approved the arrangement.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conditions imposed under Subsection (c) are not limited to a specific period, the commission shall review the conditions at least every five years to determine whether the conditions should be extended or rescinded.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parties to a proceeding under this section are limited to the commission, the independent organization certified under Section 39.151 for the ERCOT power region, the interconnecting electric utility or municipally owned utility, and a party in the net metering arrangement.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39.170.</w:t>
      </w:r>
      <w:r>
        <w:rPr>
          <w:u w:val="single"/>
        </w:rPr>
        <w:t xml:space="preserve"> </w:t>
      </w:r>
      <w:r>
        <w:rPr>
          <w:u w:val="single"/>
        </w:rPr>
        <w:t xml:space="preserve"> </w:t>
      </w:r>
      <w:r>
        <w:rPr>
          <w:u w:val="single"/>
        </w:rPr>
        <w:t xml:space="preserve">LARGE LOAD DEMAND MANAGEMENT SERVICE.  (a)</w:t>
      </w:r>
      <w:r>
        <w:rPr>
          <w:u w:val="single"/>
        </w:rPr>
        <w:t xml:space="preserve"> </w:t>
      </w:r>
      <w:r>
        <w:rPr>
          <w:u w:val="single"/>
        </w:rPr>
        <w:t xml:space="preserve"> </w:t>
      </w:r>
      <w:r>
        <w:rPr>
          <w:u w:val="single"/>
        </w:rPr>
        <w:t xml:space="preserve">The commission shall require the independent organization certified under Section 39.151 for the ERCOT power region to ensure that each electric cooperative, electric utility, and municipally owned utility serving a transmission-voltage customer develops a protocol and installs, or requires to be installed, before the customer is interconnected, any necessary equipment to allow the load to be curtailed during firm load shed.  The electric cooperative, electric utility, or municipally owned utility shall confer with the customer to the extent feasible to shed load in a coordinated manner. This subsection applies only to a load interconnected after December 31, 2025, that is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load operated by a critical load industrial customer, as defined by Section 17.002;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as a critical natural gas facility under Section 38.074.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the independent organization certified under Section 39.151 for the ERCOT power region to develop a reliability service to competitively procure demand reductions from large load customers with a demand of at least 75 megawatts to be deployed in advance of an anticipated energy emergency alert event.  The rules governing this service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the periods when the service may be used to assist with maintaining reliability during extreme weather events;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independent organization provides at least a 24-hour notice to large load customers and requires each large load to remain curtailed for the duration of the energy emergency alert event or until the load can be recalled safely;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participation by any large load customer that curtails in response to the wholesale price of electricity, as determined by the independent organization certified under Section 39.151 for the ERCOT power region, or that otherwise participates in a different reliability or ancillary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independent organization certified under Section 39.151 for the ERCOT power region shall include a deployment under this section when calculating any price adjustments for reliability deployments.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Public Utility Commission of Texas shall evaluate whether the existing methodology used to charge wholesale transmission costs to distribution providers under Section 35.004(d), Utilities Code, continues to appropriately assign costs for transmission investment.  The commission shall also evaluate:</w:t>
      </w:r>
    </w:p>
    <w:p w:rsidR="003F3435" w:rsidRDefault="0032493E">
      <w:pPr>
        <w:spacing w:line="480" w:lineRule="auto"/>
        <w:ind w:firstLine="1440"/>
        <w:jc w:val="both"/>
      </w:pPr>
      <w:r>
        <w:t xml:space="preserve">(1)</w:t>
      </w:r>
      <w:r xml:space="preserve">
        <w:t> </w:t>
      </w:r>
      <w:r xml:space="preserve">
        <w:t> </w:t>
      </w:r>
      <w:r>
        <w:t xml:space="preserve">whether the current four coincident peak methodology used to calculate wholesale transmission rates ensures that all loads appropriately contribute to the recovery of an electric cooperative's, electric utility's, or municipally owned utility's costs to provide access to the transmission system;</w:t>
      </w:r>
    </w:p>
    <w:p w:rsidR="003F3435" w:rsidRDefault="0032493E">
      <w:pPr>
        <w:spacing w:line="480" w:lineRule="auto"/>
        <w:ind w:firstLine="1440"/>
        <w:jc w:val="both"/>
      </w:pPr>
      <w:r>
        <w:t xml:space="preserve">(2)</w:t>
      </w:r>
      <w:r xml:space="preserve">
        <w:t> </w:t>
      </w:r>
      <w:r xml:space="preserve">
        <w:t> </w:t>
      </w:r>
      <w:r>
        <w:t xml:space="preserve">whether alternative methods to calculate wholesale transmission rates would more appropriately assign the cost of providing access to and wholesale service from the transmission system, such as consideration of multiple seasonal peak demands, demand during different length daily intervals, or peak energy intervals; and</w:t>
      </w:r>
    </w:p>
    <w:p w:rsidR="003F3435" w:rsidRDefault="0032493E">
      <w:pPr>
        <w:spacing w:line="480" w:lineRule="auto"/>
        <w:ind w:firstLine="1440"/>
        <w:jc w:val="both"/>
      </w:pPr>
      <w:r>
        <w:t xml:space="preserve">(3)</w:t>
      </w:r>
      <w:r xml:space="preserve">
        <w:t> </w:t>
      </w:r>
      <w:r xml:space="preserve">
        <w:t> </w:t>
      </w:r>
      <w:r>
        <w:t xml:space="preserve">the portion of the costs related to access to and wholesale service from the transmission system that should be nonbypassable, consistent with Section 35.004(c-1), Utilities Code, as added by this Act.</w:t>
      </w:r>
    </w:p>
    <w:p w:rsidR="003F3435" w:rsidRDefault="0032493E">
      <w:pPr>
        <w:spacing w:line="480" w:lineRule="auto"/>
        <w:ind w:firstLine="720"/>
        <w:jc w:val="both"/>
      </w:pPr>
      <w:r>
        <w:t xml:space="preserve">(b)</w:t>
      </w:r>
      <w:r xml:space="preserve">
        <w:t> </w:t>
      </w:r>
      <w:r xml:space="preserve">
        <w:t> </w:t>
      </w:r>
      <w:r>
        <w:t xml:space="preserve">The Public Utility Commission of Texas shall evaluate whether the commission's retail ratemaking practices ensure that transmission cost recovery appropriately charges the system costs that are caused by each customer class.</w:t>
      </w:r>
    </w:p>
    <w:p w:rsidR="003F3435" w:rsidRDefault="0032493E">
      <w:pPr>
        <w:spacing w:line="480" w:lineRule="auto"/>
        <w:ind w:firstLine="720"/>
        <w:jc w:val="both"/>
      </w:pPr>
      <w:r>
        <w:t xml:space="preserve">(c)</w:t>
      </w:r>
      <w:r xml:space="preserve">
        <w:t> </w:t>
      </w:r>
      <w:r xml:space="preserve">
        <w:t> </w:t>
      </w:r>
      <w:r>
        <w:t xml:space="preserve">The Public Utility Commission of Texas shall begin the evaluation required under Subsection (a) of this section not later than the 90th day after the effective date of this Act. </w:t>
      </w:r>
      <w:r>
        <w:t xml:space="preserve"> </w:t>
      </w:r>
      <w:r>
        <w:t xml:space="preserve">After completion of the evaluation project and not later than December 31, 2026, the commission shall amend commission rules to ensure that wholesale transmission charges appropriately assign costs for transmission investment.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35.004(c-1), Utilities Code, as added by this Act, applies only to an interconnection made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