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defendants on bail, the duties of a magistrate in certain criminal proceedings, the regulation of charitable bail organizations, pretrial intervention programs, and the notice provided by peace officers to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Code of Criminal Procedure, is amended by adding Article 16.24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16.24.</w:t>
      </w:r>
      <w:r>
        <w:rPr>
          <w:u w:val="single"/>
        </w:rPr>
        <w:t xml:space="preserve"> </w:t>
      </w:r>
      <w:r>
        <w:rPr>
          <w:u w:val="single"/>
        </w:rPr>
        <w:t xml:space="preserve"> </w:t>
      </w:r>
      <w:r>
        <w:rPr>
          <w:u w:val="single"/>
        </w:rPr>
        <w:t xml:space="preserve">REPORTING OF CONDITIONS OF PRETRIAL INTERVENTION PROGRAM.  (a) </w:t>
      </w:r>
      <w:r>
        <w:rPr>
          <w:u w:val="single"/>
        </w:rPr>
        <w:t xml:space="preserve"> </w:t>
      </w:r>
      <w:r>
        <w:rPr>
          <w:u w:val="single"/>
        </w:rPr>
        <w:t xml:space="preserve">As soon as practicable but not later than the next business day after the date a defendant enters a pretrial intervention program, the attorney representing the state shall send a copy of the conditions of the program to the sheriff in the county in which the defendant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sheriff who receives a copy of the conditions of a program under Subsection (a), or the sheriff's designee, shall, as soon as practicable but not later than the 10th day after the date the copy is received, enter information relating to the conditions into the appropriate database of the statewide law enforcement information system maintained by the Department of Public Safety or modify or remove information, as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17.021, Code of Criminal Procedure, is amended by amending Subsection (b) and adding Subsections (c-1), (h), (h-1), and (i) to read as follows:</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17.15 and list each factor provided by Article 17.15(a);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w:t>
      </w:r>
      <w:r>
        <w:rPr>
          <w:strike/>
        </w:rPr>
        <w:t xml:space="preserve">any</w:t>
      </w:r>
      <w:r>
        <w:t xml:space="preserve">]:</w:t>
      </w:r>
    </w:p>
    <w:p w:rsidR="003F3435" w:rsidRDefault="0032493E">
      <w:pPr>
        <w:spacing w:line="480" w:lineRule="auto"/>
        <w:ind w:firstLine="2160"/>
        <w:jc w:val="both"/>
      </w:pPr>
      <w:r>
        <w:t xml:space="preserve">(A)</w:t>
      </w:r>
      <w:r xml:space="preserve">
        <w:t> </w:t>
      </w:r>
      <w:r xml:space="preserve">
        <w:t> </w:t>
      </w:r>
      <w:r>
        <w:t xml:space="preserve">previous misdemeanor </w:t>
      </w:r>
      <w:r>
        <w:rPr>
          <w:u w:val="single"/>
        </w:rPr>
        <w:t xml:space="preserve">convictions</w:t>
      </w:r>
      <w:r>
        <w:t xml:space="preserve"> or felony convictions;</w:t>
      </w:r>
    </w:p>
    <w:p w:rsidR="003F3435" w:rsidRDefault="0032493E">
      <w:pPr>
        <w:spacing w:line="480" w:lineRule="auto"/>
        <w:ind w:firstLine="2160"/>
        <w:jc w:val="both"/>
      </w:pPr>
      <w:r>
        <w:t xml:space="preserve">(B)</w:t>
      </w:r>
      <w:r xml:space="preserve">
        <w:t> </w:t>
      </w:r>
      <w:r xml:space="preserve">
        <w:t> </w:t>
      </w:r>
      <w:r>
        <w:rPr>
          <w:u w:val="single"/>
        </w:rPr>
        <w:t xml:space="preserve">any</w:t>
      </w:r>
      <w:r>
        <w:t xml:space="preserve"> pending charges</w:t>
      </w:r>
      <w:r>
        <w:rPr>
          <w:u w:val="single"/>
        </w:rPr>
        <w:t xml:space="preserve">, including whether the defendant is currently released on bail or participating in a pretrial intervention program and any conditions of that release or participation</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any</w:t>
      </w:r>
      <w:r>
        <w:t xml:space="preserve">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rPr>
          <w:u w:val="single"/>
        </w:rPr>
        <w:t xml:space="preserve">any</w:t>
      </w:r>
      <w:r>
        <w:t xml:space="preserve">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17.03;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any</w:t>
      </w:r>
      <w:r>
        <w:t xml:space="preserve"> </w:t>
      </w:r>
      <w:r>
        <w:t xml:space="preserve">previous failures of the defendant to appear in court following release on bail;</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defendant is currently on community supervision, parole, or mandatory supervision for an offense;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outstanding warrants for the defendant's arrest that have been entered into the National Crime Information Center database or the Texas Crime Information System established under Section 411.0541, Government Code, including a warrant issued under Article 42A.751 of this code or Section 508.251, Government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current protective orders, as defined by Section 72.151, Government Code, for which the defendant is the subject;</w:t>
      </w:r>
      <w:r>
        <w:t xml:space="preserve">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72.038, Government Code.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an attorney representing the state, the office shall provide to the attorney access to the public safety report system for the purpose of allowing the attorney to access a bail form submitted to the office under Section 72.038,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safety report system must be configured to allow a county to integrate with the public safety report system the jail records management system and case management system used by the county.</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office may provide grants to reimburse counties for costs related to integrating the systems described by Subsection (h).  The office is not required to provide a grant under this subsection unless the office is appropriated money for that purpose.  This subsection expires August 31, 2027.</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may modify the public safety report system to incorporate technological advances to the system's features regarding notices and to any other processes the office determines will enhance the system's availability to protect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17.027, Code of Criminal Procedure, is amended by amending Subsection (a) and adding Subsections (a-1), (a-2),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charged,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charged with committing an offense punishable as a felony while released on bail in a pending case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magistrate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or community supervision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are 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and to the attorney representing the state and the defendant's attorney, if known, in the pending case for the offense for which the defendant was initially released on bail. </w:t>
      </w:r>
      <w:r>
        <w:rPr>
          <w:u w:val="single"/>
        </w:rPr>
        <w:t xml:space="preserve"> </w:t>
      </w:r>
      <w:r>
        <w:rPr>
          <w:u w:val="single"/>
        </w:rPr>
        <w:t xml:space="preserve">A notice provided under this subsection does not constitute an ex parte communication.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 Code of Criminal Procedure, is amended by adding Article 17.029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17.029.</w:t>
      </w:r>
      <w:r>
        <w:rPr>
          <w:u w:val="single"/>
        </w:rPr>
        <w:t xml:space="preserve"> </w:t>
      </w:r>
      <w:r>
        <w:rPr>
          <w:u w:val="single"/>
        </w:rPr>
        <w:t xml:space="preserve"> </w:t>
      </w:r>
      <w:r>
        <w:rPr>
          <w:u w:val="single"/>
        </w:rPr>
        <w:t xml:space="preserve">REVIEW OF BAIL DECISION.  (a) </w:t>
      </w:r>
      <w:r>
        <w:rPr>
          <w:u w:val="single"/>
        </w:rPr>
        <w:t xml:space="preserve"> </w:t>
      </w:r>
      <w:r>
        <w:rPr>
          <w:u w:val="single"/>
        </w:rPr>
        <w:t xml:space="preserve">This article applies only to a bail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a defendant charged with or arrested for an offense punishable as a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was made under Article 17.028 by the magistrate of a court that does not have jurisdiction to try the offense with which the defendant is 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district judge in any county in which the offense for which the person was arrested will be tried or in any county in which the charge for that offense will be filed has jurisdiction to modify a bail decision to which this article applies, regardless of whether the defendant has been previously indicted or an information has been previously filed for the offense for which the defendant was arrested.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judge for each county shall establish a procedure for the district clerk to notify the district judges in the county that the district clerk received a request to review a bail decision under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judge must review a bail decision as soon as practicable but not later than the next business day after the date a request to review the bail decision is filed with the district clerk by an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judge reviewing a bail decision under this article shall comply with Article 17.09 and shall consider the facts presented and the rules established by Article 17.15(a) in setting the defendant's bail.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district judge modifies a bail decision under this article to increase the amount of bail or to require additional conditions of bail for a defendant who is not in custody,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summons for the defendant to appear before the judge;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defendant a reasonable opportunity to appear before issuing a warrant for the defendant's arrest.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w:t>
      </w:r>
      <w:r>
        <w:t xml:space="preserve">[</w:t>
      </w:r>
      <w:r>
        <w:rPr>
          <w:strike/>
        </w:rPr>
        <w:t xml:space="preserve">, to the sheriff of each county in which the organization files an affidavit under Subsection (e),</w:t>
      </w:r>
      <w:r>
        <w:t xml:space="preserv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(5)</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 </w:t>
      </w:r>
      <w:r>
        <w:t xml:space="preserve"> </w:t>
      </w:r>
      <w:r>
        <w:t xml:space="preserve">Article 17.09, Code of Criminal Procedure, is amended to read as follows:</w:t>
      </w:r>
    </w:p>
    <w:p w:rsidR="003F3435" w:rsidRDefault="0032493E">
      <w:pPr>
        <w:spacing w:line="480" w:lineRule="auto"/>
        <w:ind w:firstLine="720"/>
        <w:jc w:val="both"/>
      </w:pPr>
      <w:r>
        <w:t xml:space="preserve">Sec.</w:t>
      </w:r>
      <w:r xml:space="preserve">
        <w:t> </w:t>
      </w:r>
      <w:r>
        <w:t xml:space="preserve">3. </w:t>
      </w:r>
      <w:r>
        <w:t xml:space="preserve"> </w:t>
      </w:r>
      <w:r>
        <w:t xml:space="preserve">Provided that whenever, during the course of the action, </w:t>
      </w:r>
      <w:r>
        <w:rPr>
          <w:u w:val="single"/>
        </w:rPr>
        <w:t xml:space="preserve">and regardless of whether the defendant has been previously released under Article 17.151,</w:t>
      </w:r>
      <w:r>
        <w:t xml:space="preserve"> </w:t>
      </w:r>
      <w:r>
        <w:t xml:space="preserve">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t>
      </w:r>
      <w:r>
        <w:t xml:space="preserve"> </w:t>
      </w:r>
      <w:r>
        <w:t xml:space="preserve">When such bond is so given and approved, the defendant shall be released from custody.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MODIFICATION OF BOND.  A magistrate described by Articles 2A.151(5)-(14) may not modify the amount or conditions of bond set by the judge of a district court, including the judge of a district court in another county.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affirmative findings entered pursuant to Article 42.0195.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 Code of Criminal Procedure, is amended by adding Article 42.0195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42.0195.</w:t>
      </w:r>
      <w:r>
        <w:rPr>
          <w:u w:val="single"/>
        </w:rPr>
        <w:t xml:space="preserve"> </w:t>
      </w:r>
      <w:r>
        <w:rPr>
          <w:u w:val="single"/>
        </w:rPr>
        <w:t xml:space="preserve"> </w:t>
      </w:r>
      <w:r>
        <w:rPr>
          <w:u w:val="single"/>
        </w:rPr>
        <w:t xml:space="preserve">FINDING REGARDING FAILURE TO APPEAR.  In the trial of an offense, the judge shall make an affirmative finding of fact and enter the affirmative finding in the judgment in the case if the judge determines that the defendant engaged in conduct constituting an offense under Section 38.10(a), Penal Code, after the defendant was released from custody for the offense for which the defendant was tried.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72.038, Government Code, is amended by adding Subsections (b-1) and (c-1)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releases a defendant on bail under the authority of a standing order related to bail shall complete the form required under this section.</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w:t>
      </w:r>
      <w:r>
        <w:rPr>
          <w:u w:val="single"/>
        </w:rPr>
        <w:t xml:space="preserve">48</w:t>
      </w:r>
      <w:r>
        <w:t xml:space="preserve"> [</w:t>
      </w:r>
      <w:r>
        <w:rPr>
          <w:strike/>
        </w:rPr>
        <w:t xml:space="preserve">72</w:t>
      </w:r>
      <w:r>
        <w:t xml:space="preserve">] hours after the time the defendant's bail is set provide the form electronically to the office through the public safety report system.</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office shall provide to the elected district attorney in each county an electronic copy of the form submitted to the office under Subsection (c) for each defendant whose bail is set in the county for an offense involving violence, as defined by Article 17.03, Code of Criminal Procedure.  To receive a form as provided by this subsection, an elected district attorney must provide to the office an e-mail address.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51A.003(b),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notice adopted under this section must include the following in both English and Spanish:</w:t>
      </w:r>
    </w:p>
    <w:p w:rsidR="003F3435" w:rsidRDefault="0032493E">
      <w:pPr>
        <w:spacing w:line="480" w:lineRule="auto"/>
        <w:ind w:firstLine="1440"/>
        <w:jc w:val="both"/>
      </w:pPr>
      <w:r>
        <w:t xml:space="preserve">(1)</w:t>
      </w:r>
      <w:r xml:space="preserve">
        <w:t> </w:t>
      </w:r>
      <w:r xml:space="preserve">
        <w:t> </w:t>
      </w:r>
      <w: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t xml:space="preserve">(2)</w:t>
      </w:r>
      <w:r xml:space="preserve">
        <w:t> </w:t>
      </w:r>
      <w:r xml:space="preserve">
        <w:t> </w:t>
      </w:r>
      <w:r>
        <w:t xml:space="preserve">a list of agencies and social organizations that the victim may contact for assistance with safety planning, shelter, or protection;</w:t>
      </w:r>
    </w:p>
    <w:p w:rsidR="003F3435" w:rsidRDefault="0032493E">
      <w:pPr>
        <w:spacing w:line="480" w:lineRule="auto"/>
        <w:ind w:firstLine="1440"/>
        <w:jc w:val="both"/>
      </w:pPr>
      <w:r>
        <w:t xml:space="preserve">(3)</w:t>
      </w:r>
      <w:r xml:space="preserve">
        <w:t> </w:t>
      </w:r>
      <w:r xml:space="preserve">
        <w:t> </w:t>
      </w:r>
      <w:r>
        <w:t xml:space="preserve">contact information for:</w:t>
      </w:r>
    </w:p>
    <w:p w:rsidR="003F3435" w:rsidRDefault="0032493E">
      <w:pPr>
        <w:spacing w:line="480" w:lineRule="auto"/>
        <w:ind w:firstLine="2160"/>
        <w:jc w:val="both"/>
      </w:pPr>
      <w:r>
        <w:t xml:space="preserve">(A)</w:t>
      </w:r>
      <w:r xml:space="preserve">
        <w:t> </w:t>
      </w:r>
      <w:r xml:space="preserve">
        <w:t> </w:t>
      </w:r>
      <w:r>
        <w:t xml:space="preserve">the National Domestic Violence Hotline;</w:t>
      </w:r>
    </w:p>
    <w:p w:rsidR="003F3435" w:rsidRDefault="0032493E">
      <w:pPr>
        <w:spacing w:line="480" w:lineRule="auto"/>
        <w:ind w:firstLine="2160"/>
        <w:jc w:val="both"/>
      </w:pPr>
      <w:r>
        <w:t xml:space="preserve">(B)</w:t>
      </w:r>
      <w:r xml:space="preserve">
        <w:t> </w:t>
      </w:r>
      <w:r xml:space="preserve">
        <w:t> </w:t>
      </w:r>
      <w:r>
        <w:t xml:space="preserve">victim support services at the Department of Public Safety; and</w:t>
      </w:r>
    </w:p>
    <w:p w:rsidR="003F3435" w:rsidRDefault="0032493E">
      <w:pPr>
        <w:spacing w:line="480" w:lineRule="auto"/>
        <w:ind w:firstLine="2160"/>
        <w:jc w:val="both"/>
      </w:pPr>
      <w:r>
        <w:t xml:space="preserve">(C)</w:t>
      </w:r>
      <w:r xml:space="preserve">
        <w:t> </w:t>
      </w:r>
      <w:r xml:space="preserve">
        <w:t> </w:t>
      </w:r>
      <w:r>
        <w:t xml:space="preserve">the commission's family violence program; and</w:t>
      </w:r>
    </w:p>
    <w:p w:rsidR="003F3435" w:rsidRDefault="0032493E">
      <w:pPr>
        <w:spacing w:line="480" w:lineRule="auto"/>
        <w:ind w:firstLine="1440"/>
        <w:jc w:val="both"/>
      </w:pPr>
      <w:r>
        <w:t xml:space="preserve">(4)</w:t>
      </w:r>
      <w:r xml:space="preserve">
        <w:t> </w:t>
      </w:r>
      <w:r xml:space="preserve">
        <w:t> </w:t>
      </w:r>
      <w:r>
        <w:t xml:space="preserve">information regarding the legal rights of a victim, including information regarding:</w:t>
      </w:r>
    </w:p>
    <w:p w:rsidR="003F3435" w:rsidRDefault="0032493E">
      <w:pPr>
        <w:spacing w:line="480" w:lineRule="auto"/>
        <w:ind w:firstLine="2160"/>
        <w:jc w:val="both"/>
      </w:pPr>
      <w:r>
        <w:t xml:space="preserve">(A)</w:t>
      </w:r>
      <w:r xml:space="preserve">
        <w:t> </w:t>
      </w:r>
      <w:r xml:space="preserve">
        <w:t> </w:t>
      </w:r>
      <w:r>
        <w:t xml:space="preserve">the filing of criminal charges and obtaining a protective order or a magistrate's order for emergency protection;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ability of a tenant who is a victim of family violence to vacate a dwelling and terminate a residential lease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the victim to provide information to the local prosecutor that will be helpful to a magistrate setting bail if the person committing the offense is arrested</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