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3,</w:t>
      </w:r>
      <w:r xml:space="preserve">
        <w:t> </w:t>
      </w:r>
      <w:r>
        <w:t xml:space="preserve">2025; February</w:t>
      </w:r>
      <w:r xml:space="preserve">
        <w:t> </w:t>
      </w:r>
      <w:r>
        <w:t xml:space="preserve">3,</w:t>
      </w:r>
      <w:r xml:space="preserve">
        <w:t> </w:t>
      </w:r>
      <w:r>
        <w:t xml:space="preserve">2025, read first time and referred to Committee on Criminal Justice; February</w:t>
      </w:r>
      <w:r xml:space="preserve">
        <w:t> </w:t>
      </w:r>
      <w:r>
        <w:t xml:space="preserve">13,</w:t>
      </w:r>
      <w:r xml:space="preserve">
        <w:t> </w:t>
      </w:r>
      <w:r>
        <w:t xml:space="preserve">2025, reported adversely, with favorable Committee Substitute by the following vote:</w:t>
      </w:r>
      <w:r>
        <w:t xml:space="preserve"> </w:t>
      </w:r>
      <w:r>
        <w:t xml:space="preserve"> </w:t>
      </w:r>
      <w:r>
        <w:t xml:space="preserve">Yeas 6, Nays 0; February</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release of defendants on bail, the duties of a magistrate in certain criminal proceedings, the regulation of charitable bail organizations, and the notice provided by peace officers to victims of family violence, stalking, harassment, or terroristic threat.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17.021, Code of Criminal Procedure, is amended by amending Subsection (b) and adding Subsections (c-1), (h), (h-1), and (i) to read as follows:</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17.15 and list each factor provided by Article 17.15(a);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 [</w:t>
      </w:r>
      <w:r>
        <w:rPr>
          <w:strike/>
        </w:rPr>
        <w:t xml:space="preserve">any</w:t>
      </w:r>
      <w:r>
        <w:t xml:space="preserve">]:</w:t>
      </w:r>
    </w:p>
    <w:p w:rsidR="003F3435" w:rsidRDefault="0032493E">
      <w:pPr>
        <w:spacing w:line="480" w:lineRule="auto"/>
        <w:ind w:firstLine="2160"/>
        <w:jc w:val="both"/>
      </w:pPr>
      <w:r>
        <w:t xml:space="preserve">(A)</w:t>
      </w:r>
      <w:r xml:space="preserve">
        <w:t> </w:t>
      </w:r>
      <w:r xml:space="preserve">
        <w:t> </w:t>
      </w:r>
      <w:r>
        <w:t xml:space="preserve">previous misdemeanor </w:t>
      </w:r>
      <w:r>
        <w:rPr>
          <w:u w:val="single"/>
        </w:rPr>
        <w:t xml:space="preserve">convictions</w:t>
      </w:r>
      <w:r>
        <w:t xml:space="preserve"> or felony convictions;</w:t>
      </w:r>
    </w:p>
    <w:p w:rsidR="003F3435" w:rsidRDefault="0032493E">
      <w:pPr>
        <w:spacing w:line="480" w:lineRule="auto"/>
        <w:ind w:firstLine="2160"/>
        <w:jc w:val="both"/>
      </w:pPr>
      <w:r>
        <w:t xml:space="preserve">(B)</w:t>
      </w:r>
      <w:r xml:space="preserve">
        <w:t> </w:t>
      </w:r>
      <w:r xml:space="preserve">
        <w:t> </w:t>
      </w:r>
      <w:r>
        <w:rPr>
          <w:u w:val="single"/>
        </w:rPr>
        <w:t xml:space="preserve">any</w:t>
      </w:r>
      <w:r>
        <w:t xml:space="preserve"> </w:t>
      </w:r>
      <w:r>
        <w:t xml:space="preserve">pending charges</w:t>
      </w:r>
      <w:r>
        <w:rPr>
          <w:u w:val="single"/>
        </w:rPr>
        <w:t xml:space="preserve">, including whether the defendant is currently released on bail or other pretrial release and any conditions of that release</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any</w:t>
      </w:r>
      <w:r>
        <w:t xml:space="preserve"> </w:t>
      </w:r>
      <w:r>
        <w:t xml:space="preserve">previous sentences imposing a term of confinement;</w:t>
      </w:r>
    </w:p>
    <w:p w:rsidR="003F3435" w:rsidRDefault="0032493E">
      <w:pPr>
        <w:spacing w:line="480" w:lineRule="auto"/>
        <w:ind w:firstLine="2160"/>
        <w:jc w:val="both"/>
      </w:pPr>
      <w:r>
        <w:t xml:space="preserve">(D)</w:t>
      </w:r>
      <w:r xml:space="preserve">
        <w:t> </w:t>
      </w:r>
      <w:r xml:space="preserve">
        <w:t> </w:t>
      </w:r>
      <w:r>
        <w:rPr>
          <w:u w:val="single"/>
        </w:rPr>
        <w:t xml:space="preserve">any</w:t>
      </w:r>
      <w:r>
        <w:t xml:space="preserve"> </w:t>
      </w:r>
      <w:r>
        <w:t xml:space="preserve">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17.03;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rPr>
          <w:u w:val="single"/>
        </w:rPr>
        <w:t xml:space="preserve">any</w:t>
      </w:r>
      <w:r>
        <w:t xml:space="preserve"> </w:t>
      </w:r>
      <w:r>
        <w:t xml:space="preserve">previous failures of the defendant to appear in court following release on bail;</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whether the defendant is currently on community supervision, parole, or mandatory supervision for an offense;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outstanding warrants for the defendant's arrest that have been entered into the National Crime Information Center database or the Texas Crime Information System established under Section 411.0541, Government Code, including a warrant issued under Article 42A.751 of this code or Section 508.251, Government Code;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current protective orders, as defined by Section 72.151, Government Code, for which the defendant is the subject;</w:t>
      </w:r>
      <w:r>
        <w:t xml:space="preserve">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72.038, Government Code.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by an attorney representing the state, the office shall provide to the attorney access to the public safety report system for the purpose of allowing the attorney to access a bail form submitted to the office under Section 72.038,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public safety report system must be configured to allow a county to integrate with the public safety report system the jail records management system and case management system used by the county.</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office may provide grants to reimburse counties for costs related to integrating the systems described by Subsection (h).  The office is not required to provide a grant under this subsection unless the office is appropriated money for that purpose.  This subsection expires August 31, 2027.</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may modify the public safety report system to incorporate technological advances to the system's features regarding notices and to any other processes the office determines will enhance the system's availability to protect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17.022,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manner described by this article, a magistrate may order, prepare, or consider a public safety report in setting bail for a defendant who is not in custody at the time the report is ordered, prepared, or considered.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17.027, Code of Criminal Procedure, is amended by amending Subsection (a) and adding Subsections (a-1), (a-2), (c), and (d)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w:t>
      </w:r>
      <w:r>
        <w:rPr>
          <w:strike/>
        </w:rPr>
        <w:t xml:space="preserve">promptly</w:t>
      </w:r>
      <w:r>
        <w:t xml:space="preserve">] given to the </w:t>
      </w:r>
      <w:r>
        <w:rPr>
          <w:u w:val="single"/>
        </w:rPr>
        <w:t xml:space="preserve">individual designated to receive electronic notices for the county in which the previous offense was committed, not later than the next business day after the date the defendant is charged, for purposes of the</w:t>
      </w:r>
      <w:r>
        <w:t xml:space="preserve"> court specified by Subdivision (1) [</w:t>
      </w:r>
      <w:r>
        <w:rPr>
          <w:strike/>
        </w:rPr>
        <w:t xml:space="preserve">for purposes of reevaluating the bail decision,</w:t>
      </w:r>
      <w:r>
        <w:t xml:space="preserve">] determining whether any bail conditions were violated[</w:t>
      </w:r>
      <w:r>
        <w:rPr>
          <w:strike/>
        </w:rPr>
        <w:t xml:space="preserve">,</w:t>
      </w:r>
      <w:r>
        <w:t xml:space="preserve">] or taking any other applicable action </w:t>
      </w:r>
      <w:r>
        <w:rPr>
          <w:u w:val="single"/>
        </w:rPr>
        <w:t xml:space="preserve">such as an action described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is charged with committing an offense punishable as a felony while released on bail in a pending case for another offense punishable as a felony, the court before which the case for the previous offense is pending shall consider whether to revoke or modify the terms of the previous bond or to otherwise reevaluate the previous bail decision.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magistrate appointed under Chapter 54, Government Code,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on parole or community supervision at the time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 (aggravated assault);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for each county shall designate an individual to receive electronic notices under Subsection (a)(2).  The county shall ensure that the name and contact information of the individual designated to receive notices under this subsection are included in the public safety report system developed under Article 17.021.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designated under Subsection (c) who receives an electronic notice under Subsection (a) shall promptly provide the notice to the court specified by Subsection (a)(1) and to the attorney representing the state and the defendant's attorney, if known, in the pending case for the offense for which the defendant was initially released on bail. </w:t>
      </w:r>
      <w:r>
        <w:rPr>
          <w:u w:val="single"/>
        </w:rPr>
        <w:t xml:space="preserve"> </w:t>
      </w:r>
      <w:r>
        <w:rPr>
          <w:u w:val="single"/>
        </w:rPr>
        <w:t xml:space="preserve">A notice provided under this subsection does not constitute an ex parte communication.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 Code of Criminal Procedure, is amended by adding Article 17.029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17.029.</w:t>
      </w:r>
      <w:r>
        <w:rPr>
          <w:u w:val="single"/>
        </w:rPr>
        <w:t xml:space="preserve"> </w:t>
      </w:r>
      <w:r>
        <w:rPr>
          <w:u w:val="single"/>
        </w:rPr>
        <w:t xml:space="preserve"> </w:t>
      </w:r>
      <w:r>
        <w:rPr>
          <w:u w:val="single"/>
        </w:rPr>
        <w:t xml:space="preserve">REVIEW OF BAIL DECISION.  (a) </w:t>
      </w:r>
      <w:r>
        <w:rPr>
          <w:u w:val="single"/>
        </w:rPr>
        <w:t xml:space="preserve"> </w:t>
      </w:r>
      <w:r>
        <w:rPr>
          <w:u w:val="single"/>
        </w:rPr>
        <w:t xml:space="preserve">This article applies only to a bail decision: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a defendant charged with or arrested for an offense punishable as a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was made under Article 17.028 by the magistrate of a court that does not have jurisdiction to try the offense with which the defendant is 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district judge in any county in which the offense for which the person was arrested will be tried or in any county in which the charge for that offense will be filed has jurisdiction to modify a bail decision to which this article applies, regardless of whether the defendant has been previously indicted or an information has been previously filed for the offense for which the defendant was arrested.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judge for each county shall establish a procedure for the district clerk to notify the district judges in the county that the district clerk received a request to review a bail decision under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judge must review a bail decision as soon as practicable but not later than the next business day after the date a request to review the bail decision is filed with the district clerk by an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judge reviewing a bail decision under this article shall comply with Article 17.09 and shall consider the facts presented and the rules established by Article 17.15(a) in setting the defendant's bail.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district judge modifies a bail decision under this article to increase the amount of bail or to require additional conditions of bail for a defendant who is not in custody, the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summons for the defendant to appear before the judge;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defendant a reasonable opportunity to appear before issuing a warrant for the defendant's arrest.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17.032,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19.02(b)(4), Penal Code (murder as a result of manufacture or delivery of a controlled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46.04(a), Penal Code (unlawful possession of firearm);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Articles 17.071(a), (f), (h),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this article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"Charitable</w:t>
      </w:r>
      <w:r>
        <w:t xml:space="preserve">[</w:t>
      </w:r>
      <w:r>
        <w:rPr>
          <w:strike/>
        </w:rPr>
        <w:t xml:space="preserve">, "charitable</w:t>
      </w:r>
      <w:r>
        <w:t xml:space="preserve">] bail organization" means a person who accepts and uses donations from the public to deposit money with a court in the amount of a defendant's bail bond. The term does not include: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accepting donations with respect to a defendant who is a member of the person's family, as determined under Section 71.003, Family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nonprofit corporation organized for a religious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Court Administration of the Texas Judicial System.</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w:t>
      </w:r>
      <w:r>
        <w:rPr>
          <w:u w:val="single"/>
        </w:rPr>
        <w:t xml:space="preserve">to the office</w:t>
      </w:r>
      <w:r>
        <w:t xml:space="preserve">[</w:t>
      </w:r>
      <w:r>
        <w:rPr>
          <w:strike/>
        </w:rPr>
        <w:t xml:space="preserve">, to the sheriff of each county in which the organization files an affidavit under Subsection (e),</w:t>
      </w:r>
      <w:r>
        <w:t xml:space="preserv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rPr>
          <w:u w:val="single"/>
        </w:rPr>
        <w:t xml:space="preserve">each charge for which the bond was paid;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bond paid;</w:t>
      </w:r>
    </w:p>
    <w:p w:rsidR="003F3435" w:rsidRDefault="0032493E">
      <w:pPr>
        <w:spacing w:line="480" w:lineRule="auto"/>
        <w:ind w:firstLine="1440"/>
        <w:jc w:val="both"/>
      </w:pPr>
      <w:r>
        <w:rPr>
          <w:u w:val="single"/>
        </w:rPr>
        <w:t xml:space="preserve">(5)</w:t>
      </w:r>
      <w:r xml:space="preserve">
        <w:t> </w:t>
      </w:r>
      <w:r xml:space="preserve">
        <w:t> </w:t>
      </w:r>
      <w:r>
        <w:t xml:space="preserve">the county in which the applicable charge is pending, if different from the county in which the bond was paid;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any dates on which the defendant has failed to appear in court as required for the charge for which the bond was paid</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a bond forfeiture has occurred in connection with the charge for which the bond was paid</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If the office has reason to believe that a charitable bail organization may have paid one or more bonds in violation of this article, the office shall report that information to the sheriff of the county in which the suspected violation occurred.</w:t>
      </w:r>
      <w:r>
        <w:t xml:space="preserve">  The sheriff of </w:t>
      </w:r>
      <w:r>
        <w:rPr>
          <w:u w:val="single"/>
        </w:rPr>
        <w:t xml:space="preserve">that</w:t>
      </w:r>
      <w:r>
        <w:t xml:space="preserve"> </w:t>
      </w:r>
      <w:r>
        <w:t xml:space="preserve">[</w:t>
      </w:r>
      <w:r>
        <w:rPr>
          <w:strike/>
        </w:rPr>
        <w:t xml:space="preserve">a</w:t>
      </w:r>
      <w:r>
        <w:t xml:space="preserve">]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w:t>
      </w:r>
      <w:r>
        <w:rPr>
          <w:u w:val="single"/>
        </w:rPr>
        <w:t xml:space="preserve">office</w:t>
      </w:r>
      <w:r>
        <w:t xml:space="preserve"> </w:t>
      </w:r>
      <w:r>
        <w:t xml:space="preserve">[</w:t>
      </w:r>
      <w:r>
        <w:rPr>
          <w:strike/>
        </w:rPr>
        <w:t xml:space="preserve">Office of Court Administration of the Texas Judicial System</w:t>
      </w:r>
      <w:r>
        <w:t xml:space="preserve">].</w:t>
      </w:r>
    </w:p>
    <w:p w:rsidR="003F3435" w:rsidRDefault="0032493E">
      <w:pPr>
        <w:spacing w:line="480" w:lineRule="auto"/>
        <w:ind w:firstLine="720"/>
        <w:jc w:val="both"/>
      </w:pPr>
      <w:r>
        <w:t xml:space="preserve">(k)</w:t>
      </w:r>
      <w:r xml:space="preserve">
        <w:t> </w:t>
      </w:r>
      <w:r xml:space="preserve">
        <w:t> </w:t>
      </w:r>
      <w:r>
        <w:t xml:space="preserve">Not later than December 1 of each year, the </w:t>
      </w:r>
      <w:r>
        <w:rPr>
          <w:u w:val="single"/>
        </w:rPr>
        <w:t xml:space="preserve">office</w:t>
      </w:r>
      <w:r>
        <w:t xml:space="preserve"> </w:t>
      </w:r>
      <w:r>
        <w:t xml:space="preserve">[</w:t>
      </w:r>
      <w:r>
        <w:rPr>
          <w:strike/>
        </w:rPr>
        <w:t xml:space="preserve">Office of Court Administration of the Texas Judicial System</w:t>
      </w:r>
      <w:r>
        <w:t xml:space="preserve">]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w:t>
      </w:r>
      <w:r>
        <w:rPr>
          <w:u w:val="single"/>
        </w:rPr>
        <w:t xml:space="preserve">(f)</w:t>
      </w:r>
      <w:r>
        <w:t xml:space="preserve"> [</w:t>
      </w:r>
      <w:r>
        <w:rPr>
          <w:strike/>
        </w:rPr>
        <w:t xml:space="preserve">(f-1)</w:t>
      </w:r>
      <w:r>
        <w:t xml:space="preserve">] and (h) for the preceding state fiscal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17, Code of Criminal Procedure, is amended by adding Article 17.092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17.092.</w:t>
      </w:r>
      <w:r>
        <w:rPr>
          <w:u w:val="single"/>
        </w:rPr>
        <w:t xml:space="preserve"> </w:t>
      </w:r>
      <w:r>
        <w:rPr>
          <w:u w:val="single"/>
        </w:rPr>
        <w:t xml:space="preserve"> </w:t>
      </w:r>
      <w:r>
        <w:rPr>
          <w:u w:val="single"/>
        </w:rPr>
        <w:t xml:space="preserve">MODIFICATION OF BOND.  A magistrate described by Articles 2A.151(5)-(14) may not modify the amount or conditions of bond set by the judge of a district court, including the judge of a district court in another county.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magistrate may not release on bail a defendant charged with an offense punishable as a felony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Articles 44.01(a)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prosecuting attorney,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punishable as a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granted bail for a pending offense punishable as a felony</w:t>
      </w:r>
      <w:r>
        <w:t xml:space="preserve">.</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prosecuting attorney,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72.038, Government Code, is amended by adding Subsections (b-1) and (c-1)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releases a defendant on bail under the authority of a standing order related to bail shall complete the form required under this section.</w:t>
      </w:r>
    </w:p>
    <w:p w:rsidR="003F3435" w:rsidRDefault="0032493E">
      <w:pPr>
        <w:spacing w:line="480" w:lineRule="auto"/>
        <w:ind w:firstLine="720"/>
        <w:jc w:val="both"/>
      </w:pPr>
      <w:r>
        <w:t xml:space="preserve">(c)</w:t>
      </w:r>
      <w:r xml:space="preserve">
        <w:t> </w:t>
      </w:r>
      <w:r xml:space="preserve">
        <w:t> </w:t>
      </w:r>
      <w:r>
        <w:t xml:space="preserve">The person setting bail, an employee of the court that set the defendant's bail, or an employee of the county in which the defendant's bail was set must, on completion of the form required under this section, promptly but not later than </w:t>
      </w:r>
      <w:r>
        <w:rPr>
          <w:u w:val="single"/>
        </w:rPr>
        <w:t xml:space="preserve">48</w:t>
      </w:r>
      <w:r>
        <w:t xml:space="preserve"> [</w:t>
      </w:r>
      <w:r>
        <w:rPr>
          <w:strike/>
        </w:rPr>
        <w:t xml:space="preserve">72</w:t>
      </w:r>
      <w:r>
        <w:t xml:space="preserve">] hours after the time the defendant's bail is set provide the form electronically to the office through the public safety report system.</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office shall provide to the elected district attorney in each county an electronic copy of the form submitted to the office under Subsection (c) for each defendant whose bail is set in the county for an offense involving violence, as defined by Article 17.03, Code of Criminal Procedure.  To receive a form as provided by this subsection, an elected district attorney must provide to the office an e-mail address.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51A.003(b),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notice adopted under this section must include the following in both English and Spanish:</w:t>
      </w:r>
    </w:p>
    <w:p w:rsidR="003F3435" w:rsidRDefault="0032493E">
      <w:pPr>
        <w:spacing w:line="480" w:lineRule="auto"/>
        <w:ind w:firstLine="1440"/>
        <w:jc w:val="both"/>
      </w:pPr>
      <w:r>
        <w:t xml:space="preserve">(1)</w:t>
      </w:r>
      <w:r xml:space="preserve">
        <w:t> </w:t>
      </w:r>
      <w:r xml:space="preserve">
        <w:t> </w:t>
      </w:r>
      <w: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t xml:space="preserve">(2)</w:t>
      </w:r>
      <w:r xml:space="preserve">
        <w:t> </w:t>
      </w:r>
      <w:r xml:space="preserve">
        <w:t> </w:t>
      </w:r>
      <w:r>
        <w:t xml:space="preserve">a list of agencies and social organizations that the victim may contact for assistance with safety planning, shelter, or protection;</w:t>
      </w:r>
    </w:p>
    <w:p w:rsidR="003F3435" w:rsidRDefault="0032493E">
      <w:pPr>
        <w:spacing w:line="480" w:lineRule="auto"/>
        <w:ind w:firstLine="1440"/>
        <w:jc w:val="both"/>
      </w:pPr>
      <w:r>
        <w:t xml:space="preserve">(3)</w:t>
      </w:r>
      <w:r xml:space="preserve">
        <w:t> </w:t>
      </w:r>
      <w:r xml:space="preserve">
        <w:t> </w:t>
      </w:r>
      <w:r>
        <w:t xml:space="preserve">contact information for:</w:t>
      </w:r>
    </w:p>
    <w:p w:rsidR="003F3435" w:rsidRDefault="0032493E">
      <w:pPr>
        <w:spacing w:line="480" w:lineRule="auto"/>
        <w:ind w:firstLine="2160"/>
        <w:jc w:val="both"/>
      </w:pPr>
      <w:r>
        <w:t xml:space="preserve">(A)</w:t>
      </w:r>
      <w:r xml:space="preserve">
        <w:t> </w:t>
      </w:r>
      <w:r xml:space="preserve">
        <w:t> </w:t>
      </w:r>
      <w:r>
        <w:t xml:space="preserve">the National Domestic Violence Hotline;</w:t>
      </w:r>
    </w:p>
    <w:p w:rsidR="003F3435" w:rsidRDefault="0032493E">
      <w:pPr>
        <w:spacing w:line="480" w:lineRule="auto"/>
        <w:ind w:firstLine="2160"/>
        <w:jc w:val="both"/>
      </w:pPr>
      <w:r>
        <w:t xml:space="preserve">(B)</w:t>
      </w:r>
      <w:r xml:space="preserve">
        <w:t> </w:t>
      </w:r>
      <w:r xml:space="preserve">
        <w:t> </w:t>
      </w:r>
      <w:r>
        <w:t xml:space="preserve">victim support services at the Department of Public Safety; and</w:t>
      </w:r>
    </w:p>
    <w:p w:rsidR="003F3435" w:rsidRDefault="0032493E">
      <w:pPr>
        <w:spacing w:line="480" w:lineRule="auto"/>
        <w:ind w:firstLine="2160"/>
        <w:jc w:val="both"/>
      </w:pPr>
      <w:r>
        <w:t xml:space="preserve">(C)</w:t>
      </w:r>
      <w:r xml:space="preserve">
        <w:t> </w:t>
      </w:r>
      <w:r xml:space="preserve">
        <w:t> </w:t>
      </w:r>
      <w:r>
        <w:t xml:space="preserve">the commission's family violence program; and</w:t>
      </w:r>
    </w:p>
    <w:p w:rsidR="003F3435" w:rsidRDefault="0032493E">
      <w:pPr>
        <w:spacing w:line="480" w:lineRule="auto"/>
        <w:ind w:firstLine="1440"/>
        <w:jc w:val="both"/>
      </w:pPr>
      <w:r>
        <w:t xml:space="preserve">(4)</w:t>
      </w:r>
      <w:r xml:space="preserve">
        <w:t> </w:t>
      </w:r>
      <w:r xml:space="preserve">
        <w:t> </w:t>
      </w:r>
      <w:r>
        <w:t xml:space="preserve">information regarding the legal rights of a victim, including information regarding:</w:t>
      </w:r>
    </w:p>
    <w:p w:rsidR="003F3435" w:rsidRDefault="0032493E">
      <w:pPr>
        <w:spacing w:line="480" w:lineRule="auto"/>
        <w:ind w:firstLine="2160"/>
        <w:jc w:val="both"/>
      </w:pPr>
      <w:r>
        <w:t xml:space="preserve">(A)</w:t>
      </w:r>
      <w:r xml:space="preserve">
        <w:t> </w:t>
      </w:r>
      <w:r xml:space="preserve">
        <w:t> </w:t>
      </w:r>
      <w:r>
        <w:t xml:space="preserve">the filing of criminal charges and obtaining a protective order or a magistrate's order for emergency protection;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ability of a tenant who is a victim of family violence to vacate a dwelling and terminate a residential lease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of the victim to provide information to the local prosecutor that will be helpful to a magistrate setting bail if the person committing the offense is arrested</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17.071(f-1), Code of Criminal Procedure, is repealed.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