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coordinate with state agencies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 while protecting the health and safety of the residents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as applicable, to accomplish the purposes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the office may not recommend the repeal of a rule the purpose of which is to inform members of the public about the rulemaking process or facilitate participation in that process by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preparing an economic impact statement under Section 2006.002.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rules and other regulatory requirements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agency's results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may establish, as needed,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ADVISORY PANEL.  The office may establish, as needed, the Texas Regulatory Efficiency Advisory Panel to serve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SUPPORT.  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In designating individuals to serve on the panel, the governor may give priority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may, at the discretion of the office, be reimbursed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may designate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lieutenant governor, speaker of the house of representatives, and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legislative recommendations of the office to accomplish and further the activities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post the biennial report on a publicly accessible Internet website in an easily identifiable and accessible location.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office of the governor, the Department of Information Resources, the Texas Regulatory Efficiency Office, and the secretary of state are required to implement the changes in law made by Chapter 465, Government Code, and Section 2001.007(e), Government Code, as added by this Act, only if the legislature appropriates money specifically for that purpose.  If the legislature does not appropriate money specifically for that purpose, the office of the governor, the Department of Information Resources, the Texas Regulatory Efficiency Office, and the secretary of state may, but are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 passed the Senate on March</w:t>
      </w:r>
      <w:r xml:space="preserve">
        <w:t> </w:t>
      </w:r>
      <w:r>
        <w:t xml:space="preserve">26,</w:t>
      </w:r>
      <w:r xml:space="preserve">
        <w:t> </w:t>
      </w:r>
      <w:r>
        <w:t xml:space="preserve">2025, by the following vote:</w:t>
      </w:r>
      <w:r xml:space="preserve">
        <w:t> </w:t>
      </w:r>
      <w:r xml:space="preserve">
        <w:t>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 passed the House on April</w:t>
      </w:r>
      <w:r xml:space="preserve">
        <w:t> </w:t>
      </w:r>
      <w:r>
        <w:t xml:space="preserve">9,</w:t>
      </w:r>
      <w:r xml:space="preserve">
        <w:t> </w:t>
      </w:r>
      <w:r>
        <w:t xml:space="preserve">2025, by the following vote:</w:t>
      </w:r>
      <w:r xml:space="preserve">
        <w:t> </w:t>
      </w:r>
      <w:r xml:space="preserve">
        <w:t> </w:t>
      </w:r>
      <w:r>
        <w:t xml:space="preserve">Yeas</w:t>
      </w:r>
      <w:r xml:space="preserve">
        <w:t> </w:t>
      </w:r>
      <w:r>
        <w:t xml:space="preserve">97, Nays</w:t>
      </w:r>
      <w:r xml:space="preserve">
        <w:t> </w:t>
      </w:r>
      <w:r>
        <w:t xml:space="preserve">51,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