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size and density requirements for residential lots in certain municipalities;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RESIDENTIAL ZONING LIMITATIONS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"Housing organization" means 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"Small lot"</w:t>
      </w:r>
      <w:r>
        <w:rPr>
          <w:u w:val="single"/>
        </w:rPr>
        <w:t xml:space="preserve"> </w:t>
      </w:r>
      <w:r>
        <w:rPr>
          <w:u w:val="single"/>
        </w:rPr>
        <w:t xml:space="preserve">means a residential lot that is 4,000 square feet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150,000;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or partly located in a county with a population of more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one-mile radius from the perimeter of a campus that includes a law enforcement training center in a county that has a population of 2,600,000 or more but less than 2,700,000.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SUBCHAPTER.  This subchapter may not be construed to affect requirements directly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and occupancy of residential units leased for a term of less than 30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flooding, sewer facilities, or well water located on an individual residential lot and serving only that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DWELLING UNIT LOT SIZE REQUIREMENTS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tract of land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will be platted and located in an area zoned for single-family homes;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five acres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 recorded map or plat.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rule, or other measure that requires: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lot to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larger than 1,400 square feet;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wider than 20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deeper than 60 feet;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density of dwelling units on a residential lot, a ratio of dwelling units per acre that results in fewer than 31.1 units per acre.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 LOTS.  (a)  Except as provided by Subsection (c), a municipality may not adopt or enforce an ordinance, rule, or other measure that requires a small lot to have: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building, waterway, plane, or other setback greater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front or back of the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side of the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off-site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30 percent open space or permeable surface;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fewer than three full stories not exceeding 10 feet in height measured from the interior floor to ceiling;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maximum building bulk;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wall articulation requirement;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zoning restriction that imposes restrictions inconsistent with this subsection, including restrictions through contiguous zoning districts or uses or from the creation of an overlapping zoning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require with respect to a small lot: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sharing of a driveway with another lot;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permitting fees equivalent to the permitting fees charged for the development of a lot the use of which is restricted to a single-family residence.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(a)(5), a municipality may adopt or enforce an ordinance, rule, or other measure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applies to land located in an aquifer recharge zone;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relates to the protection of an aquifer.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 This subchapter does not prohibit a municipality from imposing restrictions that are applicable to all similarly situated lots or subdivisions, including requiring all subdivisions or all small lots to fully mitigate stormwater runoff.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property owners from enforcing rules or deed restrictions imposed by a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adversely affected or aggrieved by a municipality's violation of this subchapter or a housing organization may bring an action against the municipality or an officer or employee of the municipality in the officer's or employee's official capacity for relief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must bring an action under this section in a county in which the real property that is the subject of the action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this section, a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a declaratory judgment under Chapter 37,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 writ of mandamus compelling a defendant officer or employee to comply with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an injunction preventing the defendant from violating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damages to the claimant for economic losses caused by the defendant's violation of this subchapter if the claimant is a person affected or aggrieved by the violation that is the basis for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incurred in bringing an action under this section to a prevailing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a municipality to suit and from liability is waived to the extent of liability created by this section. Official immunity of a municipal officer or employee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Fifteenth Court of Appeals has exclusive intermediate appellate jurisdiction over an appeal or original proceeding arising from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