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size and density requirements for residential lots in certain municipalities;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211, Local Government Code, is amended by adding Subchapter D to read as follows:</w:t>
      </w:r>
    </w:p>
    <w:p w:rsidR="003F3435" w:rsidRDefault="0032493E">
      <w:pPr>
        <w:spacing w:line="480" w:lineRule="auto"/>
        <w:jc w:val="center"/>
      </w:pPr>
      <w:r>
        <w:rPr>
          <w:u w:val="single"/>
        </w:rPr>
        <w:t xml:space="preserve">SUBCHAPTER D.  RESIDENTIAL ZONING LIMITATIONS IN CERTAIN MUNICIPALITIES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211.051.</w:t>
      </w:r>
      <w:r>
        <w:rPr>
          <w:u w:val="single"/>
        </w:rPr>
        <w:t xml:space="preserve"> </w:t>
      </w:r>
      <w:r>
        <w:rPr>
          <w:u w:val="single"/>
        </w:rPr>
        <w:t xml:space="preserve"> </w:t>
      </w:r>
      <w:r>
        <w:rPr>
          <w:u w:val="single"/>
        </w:rPr>
        <w:t xml:space="preserve">DEFINITIONS.  In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"Housing organization" means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trade or industry group organized under the laws of this state consisting of local members primarily engaged in the construction or management of housing units;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nonprofit organization organized under the laws of this state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provides or advocates for increased access or reduced barriers to housing;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filed written or oral comments with the legislature;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nonprofit organization organized under the laws of this state that is engaged in public policy research, education, and outreach that includes housing policy-related issues and advocacy.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"Small lot" means a residential lot that is 4,000 square feet or less.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211.052.</w:t>
      </w:r>
      <w:r>
        <w:rPr>
          <w:u w:val="single"/>
        </w:rPr>
        <w:t xml:space="preserve"> </w:t>
      </w:r>
      <w:r>
        <w:rPr>
          <w:u w:val="single"/>
        </w:rPr>
        <w:t xml:space="preserve"> </w:t>
      </w:r>
      <w:r>
        <w:rPr>
          <w:u w:val="single"/>
        </w:rPr>
        <w:t xml:space="preserve">APPLICABILITY.  (a)  This subchapter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population of more than 150,000;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wholly or partly located in a county with a population of more than 300,000;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tract of land located in a municipality described by Subdivision (1)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be platted and located in an area zoned for single-family homes;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five acres or more;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no recorded plat.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an area located within: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mile of a campus of the perimeter of a law enforcement training center in a county that has a population of 2,600,000 or more;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3,000 feet of an airport or military base;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15,000 feet of the boundary of a military base if the area is designated by a municipality or joint airport zoning board, as applicable, as a military airport overlay zone with a clear zone and accident potential zone designation, as described by the military base's air installation compatible use zone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211.053.</w:t>
      </w:r>
      <w:r>
        <w:rPr>
          <w:u w:val="single"/>
        </w:rPr>
        <w:t xml:space="preserve"> </w:t>
      </w:r>
      <w:r>
        <w:rPr>
          <w:u w:val="single"/>
        </w:rPr>
        <w:t xml:space="preserve"> </w:t>
      </w:r>
      <w:r>
        <w:rPr>
          <w:u w:val="single"/>
        </w:rPr>
        <w:t xml:space="preserve">CONSTRUCTION OF SUBCHAPTER.  This subchapter may not be construed to affect requirements directly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and occupancy of residential units leased for a term of less than 30 days;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flooding, sewer facilities, or well water located on an individual residential lot and serving only that 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211.054.</w:t>
      </w:r>
      <w:r>
        <w:rPr>
          <w:u w:val="single"/>
        </w:rPr>
        <w:t xml:space="preserve"> </w:t>
      </w:r>
      <w:r>
        <w:rPr>
          <w:u w:val="single"/>
        </w:rPr>
        <w:t xml:space="preserve"> </w:t>
      </w:r>
      <w:r>
        <w:rPr>
          <w:u w:val="single"/>
        </w:rPr>
        <w:t xml:space="preserve">CERTAIN DWELLING UNIT LOT SIZE REQUIREMENTS PROHIBITED.  A municipality may not adopt or enforce an ordinance, rule, or other measure that requires: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residential lot to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larger than 3,000 square feet;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wider than 30 feet;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deeper than 75 feet;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regulating the density of dwelling units in a residential development, a ratio of dwelling units per acre that prevents a single-family home from being built on a residential lot that is at least 3,000 square feet.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211.055.</w:t>
      </w:r>
      <w:r>
        <w:rPr>
          <w:u w:val="single"/>
        </w:rPr>
        <w:t xml:space="preserve"> </w:t>
      </w:r>
      <w:r>
        <w:rPr>
          <w:u w:val="single"/>
        </w:rPr>
        <w:t xml:space="preserve"> </w:t>
      </w:r>
      <w:r>
        <w:rPr>
          <w:u w:val="single"/>
        </w:rPr>
        <w:t xml:space="preserve">SMALL LOTS.  (a)  Except as provided by this section, a municipality may not adopt or enforce an ordinance, rule, or other measure that requires a small lot to have: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building plane or other setback greater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15 feet from the front or 10 feet from the back of the property;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five feet from the side of the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covered parking;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more than one parking space per unit;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off-site parking;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more than 30 percent open space or permeable surface;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fewer than three full stories not exceeding 10 feet in height measured from the interior floor to ceiling;</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maximum building bulk;</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wall articulation requirement;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other zoning restriction that imposes restrictions inconsistent with this subsection, including restrictions through contiguous zoning districts or uses or from the creation of an overlapping zoning district.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(a)(1), a municipality may require with respect to a small lot a setback related to environmental features, erosion, or waterways, to the extent authorized by federal or other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require with respect to a small lot: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sharing of a driveway with another 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permitting fees equivalent to the permitting fees charged for the development of a lot the use of which is restricted to a single-family residence;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impact fees, to the extent authorized by Chapter 395.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(a)(5), a municipality may adopt or enforce an ordinance, rule, or other measure with respect to a small lot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to land located in an aquifer recharge zone;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relates to the protection of an aquifer.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211.056.</w:t>
      </w:r>
      <w:r>
        <w:rPr>
          <w:u w:val="single"/>
        </w:rPr>
        <w:t xml:space="preserve"> </w:t>
      </w:r>
      <w:r>
        <w:rPr>
          <w:u w:val="single"/>
        </w:rPr>
        <w:t xml:space="preserve"> </w:t>
      </w:r>
      <w:r>
        <w:rPr>
          <w:u w:val="single"/>
        </w:rPr>
        <w:t xml:space="preserve">NO EFFECT ON OTHER ZONING AUTHORITY.  Except as expressly provided by this subchapter, this subchapter does not prohibit a municipality from imposing restrictions that are applicable to all similarly situated lots or subdivisions, including requiring all subdivisions or all small lots to fully mitigate stormwater runoff.</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211.057.</w:t>
      </w:r>
      <w:r>
        <w:rPr>
          <w:u w:val="single"/>
        </w:rPr>
        <w:t xml:space="preserve"> </w:t>
      </w:r>
      <w:r>
        <w:rPr>
          <w:u w:val="single"/>
        </w:rPr>
        <w:t xml:space="preserve"> </w:t>
      </w:r>
      <w:r>
        <w:rPr>
          <w:u w:val="single"/>
        </w:rPr>
        <w:t xml:space="preserve">NO EFFECT ON HOMEOWNERS' ASSOCIATIONS AND OTHER PRIVATE AGREEMENTS.  This subchapter does not prohibit property owners from enforcing rules or deed restrictions imposed by a homeowners' association or by other private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211.058.</w:t>
      </w:r>
      <w:r>
        <w:rPr>
          <w:u w:val="single"/>
        </w:rPr>
        <w:t xml:space="preserve"> </w:t>
      </w:r>
      <w:r>
        <w:rPr>
          <w:u w:val="single"/>
        </w:rPr>
        <w:t xml:space="preserve"> </w:t>
      </w:r>
      <w:r>
        <w:rPr>
          <w:u w:val="single"/>
        </w:rPr>
        <w:t xml:space="preserve">ACTION.  (a)  A person adversely affected or aggrieved by a municipality's violation of this subchapter or a housing organization may bring an action against the municipality or an officer or employee of the municipality in the officer's or employee's official capacity for relief described by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must bring an action under this section in a county in which the real property that is the subject of the action is wholly or partly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an action brought under this section, a court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 declaratory judgment under Chapter 37, Civil Practice and Remedies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writ of mandamus compelling a defendant officer or employee to comply with this subchapter;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an injunction preventing the defendant from violating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shall award reasonable attorney's fees and court costs incurred in bringing an action under this section to a prevailing claimant.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claimant in an action brought under this section may elect in the claimant's petition to designate the Fifteenth Court of Appeals as the exclusive intermediate appellate court over an appeal or original proceeding arising from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 passed the Senate on March</w:t>
      </w:r>
      <w:r xml:space="preserve">
        <w:t> </w:t>
      </w:r>
      <w:r>
        <w:t xml:space="preserve">19,</w:t>
      </w:r>
      <w:r xml:space="preserve">
        <w:t> </w:t>
      </w:r>
      <w:r>
        <w:t xml:space="preserve">2025, by the following vote:</w:t>
      </w:r>
      <w:r xml:space="preserve">
        <w:t> </w:t>
      </w:r>
      <w:r xml:space="preserve">
        <w:t> </w:t>
      </w:r>
      <w:r>
        <w:t xml:space="preserve">Yeas</w:t>
      </w:r>
      <w:r xml:space="preserve">
        <w:t> </w:t>
      </w:r>
      <w:r>
        <w:t xml:space="preserve">28, Nays</w:t>
      </w:r>
      <w:r xml:space="preserve">
        <w:t> </w:t>
      </w:r>
      <w:r>
        <w:t xml:space="preserve">3; May</w:t>
      </w:r>
      <w:r xml:space="preserve">
        <w:t> </w:t>
      </w:r>
      <w:r>
        <w:t xml:space="preserve">29,</w:t>
      </w:r>
      <w:r xml:space="preserve">
        <w:t> </w:t>
      </w:r>
      <w:r>
        <w:t xml:space="preserve">2025, Senate refused to concur in House amendments and requested appointment of Conference Committee; May</w:t>
      </w:r>
      <w:r xml:space="preserve">
        <w:t> </w:t>
      </w:r>
      <w:r>
        <w:t xml:space="preserve">30,</w:t>
      </w:r>
      <w:r xml:space="preserve">
        <w:t> </w:t>
      </w:r>
      <w:r>
        <w:t xml:space="preserve">2025, House granted request of the Senate; May 31, 2025, Senate adopted Conference Committee Report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 passed the House, with amendments,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86, Nays</w:t>
      </w:r>
      <w:r xml:space="preserve">
        <w:t> </w:t>
      </w:r>
      <w:r>
        <w:t xml:space="preserve">43, two present not voting; May</w:t>
      </w:r>
      <w:r xml:space="preserve">
        <w:t> </w:t>
      </w:r>
      <w:r>
        <w:t xml:space="preserve">30,</w:t>
      </w:r>
      <w:r xml:space="preserve">
        <w:t> </w:t>
      </w:r>
      <w:r>
        <w:t xml:space="preserve">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78, Nays</w:t>
      </w:r>
      <w:r xml:space="preserve">
        <w:t> </w:t>
      </w:r>
      <w:r>
        <w:t xml:space="preserve">57,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