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4,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6,</w:t>
      </w:r>
      <w:r xml:space="preserve">
        <w:t> </w:t>
      </w:r>
      <w:r>
        <w:t xml:space="preserve">2025, read first time and referred to Committee on Local Government;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6,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size and density requirements for residential lots in certain municipalities;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RESIDENTIAL ZONING LIMITATIONS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"Housing organization" means 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"Small lot"</w:t>
      </w:r>
      <w:r>
        <w:rPr>
          <w:u w:val="single"/>
        </w:rPr>
        <w:t xml:space="preserve"> </w:t>
      </w:r>
      <w:r>
        <w:rPr>
          <w:u w:val="single"/>
        </w:rPr>
        <w:t xml:space="preserve">means a residential lot that is 4,000 square feet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90,000;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wholly or partly located in a county with a population of more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one-mile radius from the perimeter of a campus that includes a law enforcement training center in a county that has a population of 2,600,000 or more but less than 2,700,000.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OF SUBCHAPTER.  This subchapter may not be construed to affect requirements directly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and occupancy of residential units leased for a term of less than 30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flooding, sewer facilities, or well water located on an individual residential lot and serving only that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DWELLING UNIT LOT SIZE REQUIREMENTS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tract of land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will be platted and located in an area zoned for single-family homes;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five acres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 recorded map or plat.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ordinance, rule, or other measure that requires: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residential lot to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larger than 1,400 square feet;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wider than 20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deeper than 60 feet;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density of dwelling units on a residential lot, a ratio of dwelling units per acre that results in fewer than 31.1 units per acre.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SMALL LOTS.  (a)  A municipality may not adopt or enforce an ordinance, rule, or other measure that requires a small lot to have: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building, waterway, plane, or other setback greater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front or back of the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side of the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off-site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30 percent open space or permeable surface;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fewer than three full stories not exceeding 10 feet in height measured from the interior floor to ceiling;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maximum building bulk;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wall articulation requirement;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zoning restriction that imposes restrictions inconsistent with this subsection, including restrictions through contiguous zoning districts or uses or from the creation of an overlapping zoning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require with respect to a small lot: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sharing of a driveway with another lot;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permitting fees equivalent to the permitting fees charged for the development of a lot the use of which is restricted to a single-family residence.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 This subchapter does not prohibit a municipality from imposing restrictions that are applicable to all similarly situated lots or subdivisions, including requiring all subdivisions or all small lots to fully mitigate stormwater runoff.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ASSOCIATIONS AND OTHER PRIVATE AGREEMENTS.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prohibit property owners from enforcing rules or deed restrictions imposed by a homeowners'</w:t>
      </w:r>
      <w:r>
        <w:rPr>
          <w:u w:val="single"/>
        </w:rPr>
        <w:t xml:space="preserve"> </w:t>
      </w:r>
      <w:r>
        <w:rPr>
          <w:u w:val="single"/>
        </w:rPr>
        <w:t xml:space="preserve">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adversely affected or aggrieved by a municipality's violation of this subchapter or a housing organization may bring an action against the municipality or an officer or employee of the municipality in the officer's or employee's official capacity for relief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must bring an action under this section in a county in which the real property that is the subject of the action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this section, a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a declaratory judgment under Chapter 37,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 writ of mandamus compelling a defendant officer or employee to comply with this subchapter;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an injunction preventing the defendant from violating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 damages to the claimant for economic losses caused by the defendant's violation of this subchapter if the claimant is a person affected or aggrieved by the violation that is the basis for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incurred in bringing an action under this section to a prevailing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a municipality to suit and from liability is waived to the extent of liability created by this section. Official immunity of a municipal officer or employee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Fifteenth Court of Appeals has exclusive intermediate appellate jurisdiction over an appeal or original proceeding arising from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