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or acquisition of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xml:space="preserve">
        <w:t> </w:t>
      </w:r>
      <w:r xml:space="preserve">
        <w:t>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PURCHASE OR ACQUISITION OF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silviculture,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each of the three most recent Annual Threat Assessments of the U.S. Intelligence Community issued pursuant to Section 108B, National Security Act of 1947 (50 U.S.C. Section 3043b).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"Real property"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commercial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industrial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groundwater;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residential property;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mineral in place;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standing timber;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water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ORGANIZATION UNDER CONTROL OF INDIVIDUAL OR ANOTHER ORGANIZATION.  (a) </w:t>
      </w:r>
      <w:r>
        <w:rPr>
          <w:u w:val="single"/>
        </w:rPr>
        <w:t xml:space="preserve"> </w:t>
      </w:r>
      <w:r>
        <w:rPr>
          <w:u w:val="single"/>
        </w:rPr>
        <w:t xml:space="preserve">For purposes of this subchapter, an organization is under the control of an individual or another organization if the controlling individual or organization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the activities of the controlled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or direct others to make legal commitments on behalf of the controlled organization;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hire and fire a principal decision maker of the controlled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controlling individual or organization under Subsection (a) may derive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exercise of a voting ownership interest of the controlled organization sufficient to elect a governing person or governing authority of the controlled organization to exercise on the controlling individual's or organization's behalf the authority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legal, practical, contractual, or other arrangement that functionally enables the controlling individual or organization to exercise the authority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EXCEPTIONS: </w:t>
      </w:r>
      <w:r>
        <w:rPr>
          <w:u w:val="single"/>
        </w:rPr>
        <w:t xml:space="preserve"> </w:t>
      </w:r>
      <w:r>
        <w:rPr>
          <w:u w:val="single"/>
        </w:rPr>
        <w:t xml:space="preserve">UNITED STATES CITIZENS AND LAWFUL PERMANENT RESIDENTS; RESIDENCE HOMESTEAD PROPERTY; LEASEHOLD.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organization that is owned by or under the control of one or more individuals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 property that is intended for use as an individual's residence homestead, as defined by Section 11.13(j), Tax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leasehold interest in land or improvements constructed on a leasehold if the duration of the interest is less than 100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PROHIBITION ON PURCHASE OR ACQUISITION OF REAL PROPERTY. </w:t>
      </w:r>
      <w:r>
        <w:rPr>
          <w:u w:val="single"/>
        </w:rPr>
        <w:t xml:space="preserve"> </w:t>
      </w:r>
      <w:r>
        <w:rPr>
          <w:u w:val="single"/>
        </w:rPr>
        <w:t xml:space="preserve">Except as provided by Section 5.253 and notwithstanding any other law, the following may not purchase or otherwise acquire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organization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domiciled in a designated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organization that is owned by or under the control of an organization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domiciled in a designated country;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who is a member of, associated with, or acting on behalf of the government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ATTORNEY GENERAL ENFORCEMENT.  (a) </w:t>
      </w:r>
      <w:r>
        <w:rPr>
          <w:u w:val="single"/>
        </w:rPr>
        <w:t xml:space="preserve"> </w:t>
      </w:r>
      <w:r>
        <w:rPr>
          <w:u w:val="single"/>
        </w:rPr>
        <w:t xml:space="preserve">If the attorney general has a reasonable suspicion that an individual, organization, or governmental entity has purchased or otherwise acquired real property in this state in violation of this subchapter, the attorney general may bring an in rem action against real property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record notice of an action brought under Subsection (a) in the real property records of each county where any part of the real property subject to the action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for an acquisition of a leasehold interest not exempt from this subchapter under Section 5.253(4), a purchase or acquisition of real property in violation of Section 5.254 is not void because of the violation, and the validity or enforceability by any person of a purchase contract for or the conveyance of the real property is not otherwise affected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ATTORNEY GENERAL INVESTIGATION AND DISCOVERY; SECRETARY OF STATE INTERROGATORIES AND RECORDS. </w:t>
      </w:r>
      <w:r>
        <w:rPr>
          <w:u w:val="single"/>
        </w:rPr>
        <w:t xml:space="preserve"> </w:t>
      </w:r>
      <w:r>
        <w:rPr>
          <w:u w:val="single"/>
        </w:rPr>
        <w:t xml:space="preserve">(a)</w:t>
      </w:r>
      <w:r>
        <w:rPr>
          <w:u w:val="single"/>
        </w:rPr>
        <w:t xml:space="preserve"> </w:t>
      </w:r>
      <w:r>
        <w:rPr>
          <w:u w:val="single"/>
        </w:rPr>
        <w:t xml:space="preserve"> </w:t>
      </w:r>
      <w:r>
        <w:rPr>
          <w:u w:val="single"/>
        </w:rPr>
        <w:t xml:space="preserve">The attorney general may conduct discovery to investigate a potential action under Section 5.255 or in an action brought under Section 5.255,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petitioning for an order authorizing the taking of a deposition under Rule 202, Texas Rules of Civil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attorney general has reason to believe that a person may be in possession, custody, or control of any documentary material or other evidence or may have any information relevant to an investigation of a suspected violation of Section 5.254, issuing in writing and serving on the person a civil investigative demand requiring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produce any of the documentary material for inspection and copying;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answer in writing any written interrogatories;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give oral testimony;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any combination of civil investigative demands under Paragraph (A),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an organization that is the subject of an action by the attorney general under Section 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an organization that is the subject of an action by the attorney general under Section 5.255.</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5.257.</w:t>
      </w:r>
      <w:r>
        <w:rPr>
          <w:u w:val="single"/>
        </w:rPr>
        <w:t xml:space="preserve"> </w:t>
      </w:r>
      <w:r>
        <w:rPr>
          <w:u w:val="single"/>
        </w:rPr>
        <w:t xml:space="preserve"> </w:t>
      </w:r>
      <w:r>
        <w:rPr>
          <w:u w:val="single"/>
        </w:rPr>
        <w:t xml:space="preserve">APPOINTMENT OF RECEIVER.  (a)  If the district court finds that the real property subject to an action brought under Section 5.255 was purchased or otherwise acquired by an individual, organization, or governmental entity in violation of Section 5.254,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 and control the real property pending the sale or other disposition of the real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individual, organization, or governmental entity that purchased or otherwise acquired the property in violation of this subchapter any proceeds of the sale or other disposition of the real property after satisfying any existing liens on the property and recovery of any reasonable costs incurred by the state in enforcing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or other acquisition of real property on or after the effective date of this Act.  The purchase or other acquisition of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