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89R27912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17</w:t>
      </w:r>
    </w:p>
    <w:p w:rsidR="003F3435" w:rsidRDefault="0032493E">
      <w:pPr>
        <w:ind w:firstLine="720"/>
        <w:jc w:val="both"/>
      </w:pPr>
      <w:r>
        <w:t xml:space="preserve">(Hefner, Metcalf, Patterson, McQueeney, Spiller,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17:</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C.S.S.B.</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or acquisition of an interest in real property by certain aliens or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OR ACQUISITION OF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is located in this state and that is suitable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in production of plants and fruits grown for human or animal consumption, or plants grown for the production of fibers, floriculture, silviculture, viticulture, horticulture, or planting seed;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domestic or native farm or ranch animals kept for use or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country" means a country identified by the United States Director of National Intelligence as a country that poses a risk to the national security of the United States in at least one of the three most recent Annual Threat Assessments of the U.S. Intelligence Community issued pursuant to Section 108B, National Security Act of 1947 (50 U.S.C. Section 3043b).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"Domiciled" means having established a place as an individual's true, fixed, and permanent home and principal residence to which the individual intends to return whenever absent.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"Organization"</w:t>
      </w:r>
      <w:r>
        <w:rPr>
          <w:u w:val="single"/>
        </w:rPr>
        <w:t xml:space="preserve"> </w:t>
      </w:r>
      <w:r>
        <w:rPr>
          <w:u w:val="single"/>
        </w:rPr>
        <w:t xml:space="preserve">has the meaning assigned by Section 1.002, Business Organizations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"Real property"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located on agricultural land;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commercial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industrial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groundwater;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residential property;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mine or quarry;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mineral in place;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standing timber;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water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EXCEPTIONS: UNITED STATES CITIZENS AND LAWFUL RESIDENTS; CERTAIN ENTITIES OWNED OR CONTROLLED BY UNITED STATES CITIZENS OR LAWFUL RESIDENTS; LEASEHOLD.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organization that is owned by or under the control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or more individuals described by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individual described by Section 5.253;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leasehold interest in land or improvements constructed on a leasehold if the duration of the interest is less than 100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PROHIBITION ON PURCHASE OR ACQUISITION OF REAL PROPERTY.  Notwithstanding any other law, the following may not purchase or otherwise acquire an interest in real property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organization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held or controlled by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the majority of stock or other ownership interest of which is held or controlled by individuals described by Subdivision (4);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organization that is owned by or the majority of stock or other ownership interest of which is held or controlled by a company or organization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citizen of a designated country who is domiciled outside of the United States in a country: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other than a designated country;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which the individual has not completed the naturalization process for becoming a citizen of that country;</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 citizen of a designated country who is unlawfully present in the United States;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citizen of a country other than the United States;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acting as an agent or on behalf of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INVESTIGATION AND ENFORCEMENT BY ATTORNEY GENERAL; LAW ENFORCEMENT REFERRAL. </w:t>
      </w:r>
      <w:r>
        <w:rPr>
          <w:u w:val="single"/>
        </w:rPr>
        <w:t xml:space="preserve"> </w:t>
      </w:r>
      <w:r>
        <w:rPr>
          <w:u w:val="single"/>
        </w:rPr>
        <w:t xml:space="preserve">(a) </w:t>
      </w:r>
      <w:r>
        <w:rPr>
          <w:u w:val="single"/>
        </w:rPr>
        <w:t xml:space="preserve"> </w:t>
      </w:r>
      <w:r>
        <w:rPr>
          <w:u w:val="single"/>
        </w:rPr>
        <w:t xml:space="preserve">The attorney general shall establish procedures to examine a purchase or acquisition of an interest in real property and determine whether an investigation of a possible violation of this subchapter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that an investigation of a purchase or acquisition of an interest in real property is warranted under this section, the attorney general shall investigate the purchase or acquisition of an interest in real property and determine whether a violation of this subchapter occurred.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that a violation of this subchapter occurred,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bring an in rem action against real property to enforce this subchapter in a district court in the county where all or part of the real property that is the subject of the violation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refer the matter to the appropriate local, state, or federal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record notice of an action brought under Subsection (c) in the real property records of each county where any part of the real property subject to the action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for an acquisition of a leasehold interest, a purchase or acquisition of an interest in real property in violation of Section 5.253 is not void because of the violation, and the validity or enforceability by any person of a purchase contract for or the conveyance of an interest in the real property is not otherwise affected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ATTORNEY GENERAL INVESTIGATION AND DISCOVERY; SECRETARY OF STATE INTERROGATORIES AND RECORDS.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attorney general may conduct discovery to investigate a potential action under Section 5.254 or in an action brought under Section 5.254,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petitioning for an order authorizing the taking of a deposition under Rule 202, Texas Rules of Civil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attorney general has reason to believe that a person may be in possession, custody, or control of any documentary material or other evidence or may have any information relevant to an investigation of a suspected violation of Section 5.253, issuing in writing and serving on the person a civil investigative demand requiring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produce any of the documentary material for inspection and copying;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answer in writing any written interrogatories;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give oral testimony;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any combination of civil investigative demands under Paragraph (A), (B), or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on request by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interrogatories on an individual or entity as necessary to determine the ownership or control of an organization that is the subject of an action by the attorney general under Section 5.254;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all records held by the secretary relating to the ownership or control of an organization that is the subject of an action by the attorney general under Section 5.254.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DIVESTITURE; APPOINTMENT OF RECEIVER; DISTRIBUTION OF SALE PROCEEDS.  (a)  If the district court finds that the real property subject to an action brought under Section 5.254 was purchased or an interest in the real property was otherwise acquired in violation of Section 5.253,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an order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the court's finding;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orders the divestment of the individual's or entity's interest in the real property;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appoints a receiver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divest the individual's or entity's interest in the real property through sale, termination of a leasehold, or other disposition of the interest;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manage and control the real property pending the sale or other disposition of the interest in the real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the matter to the appropriate prosecuting attorney for criminal prosecution of any appropriate criminal offense in connection with the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Proceeds from the sale or other disposition of an interest in real property under an order described by Subsection (a) shall be applied first to satisfy any existing liens on the property and then to pay the reasonable costs incurred by the state in enforcing this subchapter. </w:t>
      </w:r>
      <w:r>
        <w:rPr>
          <w:u w:val="single"/>
        </w:rPr>
        <w:t xml:space="preserve"> </w:t>
      </w:r>
      <w:r>
        <w:rPr>
          <w:u w:val="single"/>
        </w:rPr>
        <w:t xml:space="preserve">The remaining proceeds shall be remitted to the individual or entity that purchased or otherwise acquired the interest in violation of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attorney general shall adopt rules for the implementation of Subchapter H, Chapter 5, Property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the purchase or acquisition of an interest in real property on or after the effective date of this Act.  The purchase or acquisition of an interest in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  If a court finds invalid, for any reason, a prohibition under this Act on the purchase or acquisition of an interest in real property in this state by an individual described by Section 5.253(4), Property Code, as added by this Act, the court shall, notwithstanding the finding, construe this Act to prohibit the purchase or acquisition of an interest in real property in this state by an individual who is a citizen of a country other than the United States and is domiciled in a designated country described by Section 5.251(3), Property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