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municipal libraries that host certain events from receiving state or other public funding.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315, Local Government Code, is amended by adding Section 315.0051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315.0051.</w:t>
      </w:r>
      <w:r>
        <w:rPr>
          <w:u w:val="single"/>
        </w:rPr>
        <w:t xml:space="preserve"> </w:t>
      </w:r>
      <w:r>
        <w:rPr>
          <w:u w:val="single"/>
        </w:rPr>
        <w:t xml:space="preserve"> </w:t>
      </w:r>
      <w:r>
        <w:rPr>
          <w:u w:val="single"/>
        </w:rPr>
        <w:t xml:space="preserve">PROHIBITED EVENTS AT MUNICIPAL LIBRARIES.  A municipal library may not receive state or other public funds if the library hosts an event at which a man presenting as a woman or a woman presenting as a man reads a book or a story to a minor for entertainment and the person being dressed as the opposite gender is a primary component of the entertainment. </w:t>
      </w:r>
      <w:r>
        <w:rPr>
          <w:u w:val="single"/>
        </w:rPr>
        <w:t xml:space="preserve"> </w:t>
      </w:r>
      <w:r>
        <w:rPr>
          <w:u w:val="single"/>
        </w:rPr>
        <w:t xml:space="preserve">The state and a political subdivision of the state may not provide funds to the municipal library for the fiscal year following the year in which the library hosts an event described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event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