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or contract with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contracts with an individual required to register as a lobbyist under Chapter 305.</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does not apply to an association or organization that solely represents elected sheriffs.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association or organization that primarily represents political subdivisions of this state from engaging in activities that would require registration as a lobbyist under Chapter 305.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taxpayer or resident who prevails in an action under Subsection (c)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