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89R5262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 et al.</w:t>
      </w:r>
      <w:r xml:space="preserve">
        <w:tab wTab="150" tlc="none" cTlc="0"/>
      </w:r>
      <w:r>
        <w:t xml:space="preserve">S.B.</w:t>
      </w:r>
      <w:r xml:space="preserve">
        <w:t> </w:t>
      </w:r>
      <w:r>
        <w:t xml:space="preserve">No.</w:t>
      </w:r>
      <w:r xml:space="preserve">
        <w:t> </w:t>
      </w:r>
      <w:r>
        <w:t xml:space="preserve">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criminal offense of possession or promotion of obscene visual material appearing to depict a child.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43, Penal Code, is amended by adding Section 43.235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43.235.</w:t>
      </w:r>
      <w:r>
        <w:rPr>
          <w:u w:val="single"/>
        </w:rPr>
        <w:t xml:space="preserve"> </w:t>
      </w:r>
      <w:r>
        <w:rPr>
          <w:u w:val="single"/>
        </w:rPr>
        <w:t xml:space="preserve"> </w:t>
      </w:r>
      <w:r>
        <w:rPr>
          <w:u w:val="single"/>
        </w:rPr>
        <w:t xml:space="preserve">POSSESSION OR PROMOTION OF OBSCENE VISUAL MATERIAL APPEARING TO DEPICT CHILD.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has the meaning assigned by Section 43.25.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"Visual material" has the meaning assigned by Section 43.26.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possesses, accesses with intent to view, or promotes obscene visual material containing a depiction that appears to be of a child younger than 18 years of age engaging in activities described by Section 43.21(a)(1)(B), regardless of whether the depiction is an image of an actual child, a cartoon or animation, or an image created using an artificial intelligence application or other computer software.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person has been previously convicted one time of an offense under this section or Section 43.23, 43.26, 43.261, or 43.262;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person has been previously convicted two or more times of an offense under this section, Section 43.23, 43.26, 43.261, or 43.262, or any combination of those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or the other law, but not both.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71.02(a), Penal Code, as amended by Chapters 269 (S.B. 224), 369 (H.B. 1442), 462 (S.B. 1900), 885 (H.B. 4635), and 910 (H.B. 6), Acts of the 88th Legislature, Regular Session, 2023, is reenacted and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any unlawful possession with intent to deliver a controlled substance or dangerous drug;</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unlawful possession with intent to deliver a controlled substance listed in Penalty Group 1-B under Section 481.1022, Health and Safety Code;</w:t>
      </w:r>
      <w:r>
        <w:t xml:space="preserv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rPr>
          <w:u w:val="single"/>
        </w:rPr>
        <w:t xml:space="preserve">any offense under Section 43.235;</w:t>
      </w:r>
    </w:p>
    <w:p w:rsidR="003F3435" w:rsidRDefault="0032493E">
      <w:pPr>
        <w:spacing w:line="480" w:lineRule="auto"/>
        <w:ind w:firstLine="1440"/>
        <w:jc w:val="both"/>
      </w:pPr>
      <w:r>
        <w:rPr>
          <w:u w:val="single"/>
        </w:rPr>
        <w:t xml:space="preserve">(17)</w:t>
      </w:r>
      <w:r xml:space="preserve">
        <w:t> </w:t>
      </w:r>
      <w:r xml:space="preserve">
        <w:t> </w:t>
      </w:r>
      <w:r>
        <w:t xml:space="preserve">any offense under Section 46.06(a)(1) or 46.14;</w:t>
      </w:r>
    </w:p>
    <w:p w:rsidR="003F3435" w:rsidRDefault="0032493E">
      <w:pPr>
        <w:spacing w:line="480" w:lineRule="auto"/>
        <w:ind w:firstLine="1440"/>
        <w:jc w:val="both"/>
      </w:pPr>
      <w:r>
        <w:rPr>
          <w:u w:val="single"/>
        </w:rPr>
        <w:t xml:space="preserve">(18)</w:t>
      </w:r>
      <w:r xml:space="preserve">
        <w:t> </w:t>
      </w:r>
      <w:r>
        <w:t xml:space="preserve">[</w:t>
      </w:r>
      <w:r>
        <w:rPr>
          <w:strike/>
        </w:rPr>
        <w:t xml:space="preserve">(17)</w:t>
      </w:r>
      <w:r>
        <w:t xml:space="preserve">]</w:t>
      </w:r>
      <w:r xml:space="preserve">
        <w:t> </w:t>
      </w:r>
      <w:r xml:space="preserve">
        <w:t> </w:t>
      </w:r>
      <w:r>
        <w:t xml:space="preserve">any offense under Section 20.05, 20.06, or 20.07;</w:t>
      </w:r>
    </w:p>
    <w:p w:rsidR="003F3435" w:rsidRDefault="0032493E">
      <w:pPr>
        <w:spacing w:line="480" w:lineRule="auto"/>
        <w:ind w:firstLine="1440"/>
        <w:jc w:val="both"/>
      </w:pPr>
      <w:r>
        <w:rPr>
          <w:u w:val="single"/>
        </w:rPr>
        <w:t xml:space="preserve">(19)</w:t>
      </w:r>
      <w:r xml:space="preserve">
        <w:t> </w:t>
      </w:r>
      <w:r>
        <w:t xml:space="preserve">[</w:t>
      </w:r>
      <w:r>
        <w:rPr>
          <w:strike/>
        </w:rPr>
        <w:t xml:space="preserve">(18)</w:t>
      </w:r>
      <w:r>
        <w:t xml:space="preserve">]</w:t>
      </w:r>
      <w:r xml:space="preserve">
        <w:t> </w:t>
      </w:r>
      <w:r xml:space="preserve">
        <w:t> </w:t>
      </w:r>
      <w:r>
        <w:t xml:space="preserve">any offense under Section 16.02;</w:t>
      </w:r>
    </w:p>
    <w:p w:rsidR="003F3435" w:rsidRDefault="0032493E">
      <w:pPr>
        <w:spacing w:line="480" w:lineRule="auto"/>
        <w:ind w:firstLine="1440"/>
        <w:jc w:val="both"/>
      </w:pPr>
      <w:r>
        <w:rPr>
          <w:u w:val="single"/>
        </w:rPr>
        <w:t xml:space="preserve">(20)</w:t>
      </w:r>
      <w:r xml:space="preserve">
        <w:t> </w:t>
      </w:r>
      <w:r>
        <w:t xml:space="preserve">[</w:t>
      </w:r>
      <w:r>
        <w:rPr>
          <w:strike/>
        </w:rPr>
        <w:t xml:space="preserve">(19)</w:t>
      </w:r>
      <w:r>
        <w:t xml:space="preserve">]</w:t>
      </w:r>
      <w:r xml:space="preserve">
        <w:t> </w:t>
      </w:r>
      <w:r xml:space="preserve">
        <w:t> </w:t>
      </w:r>
      <w:r>
        <w:t xml:space="preserve">any offense punishable under Section 42.03(d) or (e);</w:t>
      </w:r>
    </w:p>
    <w:p w:rsidR="003F3435" w:rsidRDefault="0032493E">
      <w:pPr>
        <w:spacing w:line="480" w:lineRule="auto"/>
        <w:ind w:firstLine="1440"/>
        <w:jc w:val="both"/>
      </w:pPr>
      <w:r>
        <w:rPr>
          <w:u w:val="single"/>
        </w:rPr>
        <w:t xml:space="preserve">(21)</w:t>
      </w:r>
      <w:r xml:space="preserve">
        <w:t> </w:t>
      </w:r>
      <w:r>
        <w:t xml:space="preserve">[</w:t>
      </w:r>
      <w:r>
        <w:rPr>
          <w:strike/>
        </w:rPr>
        <w:t xml:space="preserve">(19)</w:t>
      </w:r>
      <w:r>
        <w:t xml:space="preserve">]</w:t>
      </w:r>
      <w:r xml:space="preserve">
        <w:t> </w:t>
      </w:r>
      <w:r xml:space="preserve">
        <w:t> </w:t>
      </w:r>
      <w:r>
        <w:t xml:space="preserve">an offense under Section 28.03 that is punishable under Subsection (b)(4)(E) of that section;</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an offense under Section 31.21 that is punishable under Subsection (d) of that section;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(20)</w:t>
      </w:r>
      <w:r>
        <w:t xml:space="preserve">]</w:t>
      </w:r>
      <w:r xml:space="preserve">
        <w:t> </w:t>
      </w:r>
      <w:r xml:space="preserve">
        <w:t> </w:t>
      </w:r>
      <w:r>
        <w:t xml:space="preserve">any offense classified as a felony under the Tax Code; or</w:t>
      </w:r>
    </w:p>
    <w:p w:rsidR="003F3435" w:rsidRDefault="0032493E">
      <w:pPr>
        <w:spacing w:line="480" w:lineRule="auto"/>
        <w:ind w:firstLine="1440"/>
        <w:jc w:val="both"/>
      </w:pPr>
      <w:r>
        <w:rPr>
          <w:u w:val="single"/>
        </w:rPr>
        <w:t xml:space="preserve">(24)</w:t>
      </w:r>
      <w:r xml:space="preserve">
        <w:t> </w:t>
      </w:r>
      <w:r>
        <w:t xml:space="preserve">[</w:t>
      </w:r>
      <w:r>
        <w:rPr>
          <w:strike/>
        </w:rPr>
        <w:t xml:space="preserve">(21)</w:t>
      </w:r>
      <w:r>
        <w:t xml:space="preserve">]</w:t>
      </w:r>
      <w:r xml:space="preserve">
        <w:t> </w:t>
      </w:r>
      <w:r xml:space="preserve">
        <w:t> </w:t>
      </w:r>
      <w:r>
        <w:t xml:space="preserve">any offense under Section 545.420, Transportation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