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lottery game played or facilitated for play by telephone or through an Internet or mobile Internet application; creating criminal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466.015(b),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adopt rules to the extent they are not inconsistent with Chapters 551 and 552 governing the: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security for the lottery and the commission, including the development of an internal security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apportionment of the total revenues from the sale of tickets and from all other sources in the amounts provided by this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enforcement of prohibitions on the sale of tickets to or by an individual younger than 18 years of age;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enforcement of prohibitions on a person playing </w:t>
      </w:r>
      <w:r>
        <w:rPr>
          <w:u w:val="single"/>
        </w:rPr>
        <w:t xml:space="preserve">or facilitating the play of</w:t>
      </w:r>
      <w:r>
        <w:t xml:space="preserve"> a lottery game by telephone </w:t>
      </w:r>
      <w:r>
        <w:rPr>
          <w:u w:val="single"/>
        </w:rPr>
        <w:t xml:space="preserve">or through an Internet application or mobile Internet application in violation of Section 466.318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466, Government Code, is amended by adding Section 466.318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466.318.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PLAY OR FACILITATING PLAY BY TELEPHONE OR BY INTERNET OR MOBILE INTERNET APPLICATION.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may not by telephone or through an Internet application or mobile Internet application: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or order the purchase of a ticket for a lottery game;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compensation: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accept an order for a ticket for a lottery game from a player;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a ticket for a lottery game to a player;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arrange: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purchase a ticket on behalf of a person playing a lottery game;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another person to purchase a ticket on behalf of a person playing a lottery game.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violates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Subsection (a)(1) is a Class C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Subsection (a)(2)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