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20,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20,</w:t>
      </w:r>
      <w:r xml:space="preserve">
        <w:t> </w:t>
      </w:r>
      <w:r>
        <w:t xml:space="preserve">2025, read first time and referred to Committee on State Affairs; February</w:t>
      </w:r>
      <w:r xml:space="preserve">
        <w:t> </w:t>
      </w:r>
      <w:r>
        <w:t xml:space="preserve">25,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9, Nays 0; February</w:t>
      </w:r>
      <w:r xml:space="preserve">
        <w:t> </w:t>
      </w:r>
      <w:r>
        <w:t xml:space="preserve">25,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lottery game played or facilitated for play by telephone or through an Internet or mobile Internet application;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adopt rules to the extent they are not inconsistent with Chapters 551 and 552 governing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security for the lottery and the commission, including the development of an internal security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apportionment of the total revenues from the sale of tickets and from all other sources in the amounts provided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enforcement of prohibitions on the sale of tickets to or by an individual younger than 18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enforcement of prohibitions on a person playing </w:t>
      </w:r>
      <w:r>
        <w:rPr>
          <w:u w:val="single"/>
        </w:rPr>
        <w:t xml:space="preserve">or facilitating the play of</w:t>
      </w:r>
      <w:r>
        <w:t xml:space="preserve"> a lottery game by telephone </w:t>
      </w:r>
      <w:r>
        <w:rPr>
          <w:u w:val="single"/>
        </w:rPr>
        <w:t xml:space="preserve">or through an Internet application or mobile Internet application in violation of Section 466.318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466, Government Code, is amended by adding Section 466.318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466.318.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PLAY OR FACILITATING PLAY BY TELEPHONE OR BY INTERNET OR MOBILE INTERNET APPLICATION.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by telephone or through an Internet application or mobile Internet application: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or order the purchase of a ticket for a lottery game;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compensation: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an order for a ticket for a lottery game from a player;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a ticket for a lottery game to a player;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arrange: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a ticket on behalf of a person playing a lottery game;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another person to purchase a ticket on behalf of a person playing a lottery game.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(a)(1)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(a)(2)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