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34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preparation, prevention, and mitigation of wildfires.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(15) to read as follows: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"Forest service" means the Texas A&amp;M Forest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STATEWIDE DATABASE OF FIREFIGHTING EQUIPMENT.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forest service shall create and maintain a comprehensive database that shows in real time the statewide inventory of firefighting equipment that is available for use in responding to wildfires.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database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description of the type of firefighting equipment each fire department in the state has available for use in responding to wildfires;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contact information for the fire department that has the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searchable by location and equipment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accessible by all fire departments in the state and allow each fire department to update the information in the database regarding the equipment the fire department has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forest service shall assist fire departments who choose to provide equipment information in updating the database annually or as soon as practicable after any change in the availability of the department's firefighting equipment.</w:t>
      </w:r>
      <w:r>
        <w:rPr>
          <w:u w:val="single"/>
        </w:rPr>
        <w:t xml:space="preserve"> </w:t>
      </w:r>
      <w:r>
        <w:rPr>
          <w:u w:val="single"/>
        </w:rPr>
        <w:t xml:space="preserve"> </w:t>
      </w:r>
      <w:r>
        <w:rPr>
          <w:u w:val="single"/>
        </w:rPr>
        <w:t xml:space="preserve">The service shall use an electronic notification system to remind departments, at least once each calendar year, to provide an update of their equipment availability.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"fire department" includes a volunteer fire department or an emergency services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2007.002, Insurance Code, is amended to read as follows:</w:t>
      </w:r>
    </w:p>
    <w:p w:rsidR="003F3435" w:rsidRDefault="0032493E">
      <w:pPr>
        <w:spacing w:line="480" w:lineRule="auto"/>
        <w:ind w:firstLine="720"/>
        <w:jc w:val="both"/>
      </w:pPr>
      <w:r>
        <w:t xml:space="preserve">Sec.</w:t>
      </w:r>
      <w:r xml:space="preserve">
        <w:t> </w:t>
      </w:r>
      <w:r>
        <w:t xml:space="preserve">2007.002.</w:t>
      </w:r>
      <w:r xml:space="preserve">
        <w:t> </w:t>
      </w:r>
      <w:r xml:space="preserve">
        <w:t> </w:t>
      </w:r>
      <w:r>
        <w:t xml:space="preserve">ASSESSMENT.  The comptroller shall assess against all insurers to which this chapter applies amounts for each state fiscal year necessary, as determined by the commissioner, to collect [</w:t>
      </w:r>
      <w:r>
        <w:rPr>
          <w:strike/>
        </w:rPr>
        <w:t xml:space="preserve">a combined total equal to the lesser of:</w:t>
      </w:r>
    </w:p>
    <w:p w:rsidR="003F3435" w:rsidRDefault="0032493E">
      <w:pPr>
        <w:spacing w:line="480" w:lineRule="auto"/>
        <w:ind w:firstLine="720"/>
        <w:jc w:val="both"/>
      </w:pPr>
      <w:r>
        <w:t xml:space="preserve">[</w:t>
      </w:r>
      <w:r>
        <w:rPr>
          <w:strike/>
        </w:rPr>
        <w:t xml:space="preserve">(1)</w:t>
      </w:r>
      <w:r>
        <w:t xml:space="preserve">]  the total amount that the General Appropriations Act appropriates from the volunteer fire department assistance fund account in the general revenue fund for that state fiscal year, other than appropriations for contributions to the Texas Emergency Services Retirement System made under Section 614.104(d), Government Code[</w:t>
      </w:r>
      <w:r>
        <w:rPr>
          <w:strike/>
        </w:rPr>
        <w:t xml:space="preserve">; or</w:t>
      </w:r>
    </w:p>
    <w:p w:rsidR="003F3435" w:rsidRDefault="0032493E">
      <w:pPr>
        <w:spacing w:line="480" w:lineRule="auto"/>
        <w:ind w:firstLine="720"/>
        <w:jc w:val="both"/>
      </w:pPr>
      <w:r>
        <w:t xml:space="preserve">[</w:t>
      </w:r>
      <w:r>
        <w:rPr>
          <w:strike/>
        </w:rPr>
        <w:t xml:space="preserve">(2)  $30 million</w:t>
      </w:r>
      <w:r>
        <w:t xml:space="preserve"> </w:t>
      </w:r>
      <w:r>
        <w:rPr>
          <w:u w:val="single"/>
        </w:rPr>
        <w:t xml:space="preserve">$40 million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614.102, Government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At least 10 percent of appropriations for a state fiscal year from the fund is allocated for the purpose of providing assistance to volunteer fire departments in areas of the state defined by the service as high risk for large wildfires.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amount of assistance requested in a state fiscal year by eligible departments described by Subsection (i) is less than the amount allocated under that subsection, the remaining amount may be used for other types of requests for assistance described by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county,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planning and implementation of a statewide strategic plan for governing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Texas Department of Emergency Management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w:t>
      </w:r>
      <w:r>
        <w:rPr>
          <w:u w:val="single"/>
        </w:rPr>
        <w:t xml:space="preserve"> </w:t>
      </w:r>
      <w:r>
        <w:rPr>
          <w:u w:val="single"/>
        </w:rPr>
        <w:t xml:space="preserve"> </w:t>
      </w:r>
      <w:r>
        <w:rPr>
          <w:u w:val="single"/>
        </w:rPr>
        <w:t xml:space="preserve">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Texas Department of Emergency Management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w:t>
      </w:r>
      <w:r>
        <w:rPr>
          <w:u w:val="single"/>
        </w:rPr>
        <w:t xml:space="preserve">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council, in collaboration with any state agency or private entity as the council determines appropriate, shall develop a statewide strategic plan by January 1, 2026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under the plan can be adapted to or integrated with any existing emergency communication equipment and infrastructure;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recommendations for appropriations and statutory suggestions to implement the strategic plan.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The division may adopt rules to administer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91.019, Natural Resources Code, is amended to read as follows:</w:t>
      </w:r>
    </w:p>
    <w:p w:rsidR="003F3435" w:rsidRDefault="0032493E">
      <w:pPr>
        <w:spacing w:line="480" w:lineRule="auto"/>
        <w:ind w:firstLine="720"/>
        <w:jc w:val="both"/>
      </w:pPr>
      <w:r>
        <w:t xml:space="preserve">Sec.</w:t>
      </w:r>
      <w:r xml:space="preserve">
        <w:t> </w:t>
      </w:r>
      <w:r>
        <w:t xml:space="preserve">91.019.</w:t>
      </w:r>
      <w:r xml:space="preserve">
        <w:t> </w:t>
      </w:r>
      <w:r xml:space="preserve">
        <w:t> </w:t>
      </w:r>
      <w:r>
        <w:t xml:space="preserve">STANDARDS FOR CONSTRUCTION, OPERATION, AND MAINTENANCE OF ELECTRICAL POWER LINES.  </w:t>
      </w:r>
      <w:r>
        <w:rPr>
          <w:u w:val="single"/>
        </w:rPr>
        <w:t xml:space="preserve">(a)</w:t>
      </w:r>
      <w:r>
        <w:t xml:space="preserve">  An operator shall construct, operate, and maintain an electrical power line serving a well site or other surface facility employed in operations incident to oil and gas development and production in accordance with the National Electrical Code published by the National Fire Protection Association and adopted by the Texas Commission of Licensing and Regulation under Chapter 1305,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during an inspection of a well site or surface facility employed in operations incident to oil and gas development and production, the commission discovers a condition involving an electrical power line that does not meet the standards described by Subsection (a), the commission shall notify the Public Utility Commission of Texas.  To resolve the condition, the commission and the Public Utility Commission of Texas, in collaboration,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applicable electric utility providing electric power to the well site or surface facility of the condition and require the electric utility to make a determination regarding whether electric power should be disconnected from the site or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that the state fire marshal or a local government authority inspect the well site or surface facility and require the operator to mitigate any dangerous conditions identified by the state fire marshal or local government authority;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notice to the applicable electric utility to investigate the condition and disconnect electric service, if necessary.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 8:</w:t>
      </w:r>
      <w:r xml:space="preserve">
        <w:t> </w:t>
      </w:r>
      <w:r>
        <w:t xml:space="preserve">Section 91.019, Natural Resources Code, as amended by this Act, applies to an inspection that occurs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