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Hagenbuch</w:t>
      </w:r>
      <w:r xml:space="preserve">
        <w:tab wTab="150" tlc="none" cTlc="0"/>
      </w:r>
      <w:r>
        <w:t xml:space="preserve">S.B.</w:t>
      </w:r>
      <w:r xml:space="preserve">
        <w:t> </w:t>
      </w:r>
      <w:r>
        <w:t xml:space="preserve">No.</w:t>
      </w:r>
      <w:r xml:space="preserve">
        <w:t> </w:t>
      </w:r>
      <w:r>
        <w:t xml:space="preserve">39</w:t>
      </w:r>
    </w:p>
    <w:p w:rsidR="003F3435" w:rsidRDefault="0032493E">
      <w:pPr>
        <w:jc w:val="both"/>
      </w:pPr>
      <w:r xml:space="preserve">
        <w:t> </w:t>
      </w:r>
      <w:r xml:space="preserve">
        <w:t> </w:t>
      </w:r>
      <w:r xml:space="preserve">
        <w:t> </w:t>
      </w:r>
      <w:r xml:space="preserve">
        <w:t> </w:t>
      </w:r>
      <w:r xml:space="preserve">
        <w:t> </w:t>
      </w:r>
      <w:r>
        <w:t xml:space="preserve">Hinojosa of Nueces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liability of a commercial motor vehicle owner or operator.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72.054(a), (b), and (f), Civil Practice and Remedies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In</w:t>
      </w:r>
      <w:r>
        <w:t xml:space="preserve"> [</w:t>
      </w:r>
      <w:r>
        <w:rPr>
          <w:strike/>
        </w:rPr>
        <w:t xml:space="preserve">Except as provided by Subsection (d), in</w:t>
      </w:r>
      <w:r>
        <w:t xml:space="preserve">] a civil action under this subchapter, an employer defendant's liability for damages caused by the ordinary negligence of a person operating the defendant's commercial motor vehicle shall be based only on respondeat superior if the defendant stipulates, within the time provided by Section 72.052 for filing a motion to bifurcate, that, at the time of the collision, the person operating the vehicle was:</w:t>
      </w:r>
    </w:p>
    <w:p w:rsidR="003F3435" w:rsidRDefault="0032493E">
      <w:pPr>
        <w:spacing w:line="480" w:lineRule="auto"/>
        <w:ind w:firstLine="1440"/>
        <w:jc w:val="both"/>
      </w:pPr>
      <w:r>
        <w:t xml:space="preserve">(1)</w:t>
      </w:r>
      <w:r xml:space="preserve">
        <w:t> </w:t>
      </w:r>
      <w:r xml:space="preserve">
        <w:t> </w:t>
      </w:r>
      <w:r>
        <w:t xml:space="preserve">the defendant's employee; and</w:t>
      </w:r>
    </w:p>
    <w:p w:rsidR="003F3435" w:rsidRDefault="0032493E">
      <w:pPr>
        <w:spacing w:line="480" w:lineRule="auto"/>
        <w:ind w:firstLine="1440"/>
        <w:jc w:val="both"/>
      </w:pPr>
      <w:r>
        <w:t xml:space="preserve">(2)</w:t>
      </w:r>
      <w:r xml:space="preserve">
        <w:t> </w:t>
      </w:r>
      <w:r xml:space="preserve">
        <w:t> </w:t>
      </w:r>
      <w:r>
        <w:t xml:space="preserve">acting within the scope of employment.</w:t>
      </w:r>
    </w:p>
    <w:p w:rsidR="003F3435" w:rsidRDefault="0032493E">
      <w:pPr>
        <w:spacing w:line="480" w:lineRule="auto"/>
        <w:ind w:firstLine="720"/>
        <w:jc w:val="both"/>
      </w:pPr>
      <w:r>
        <w:t xml:space="preserve">(b)</w:t>
      </w:r>
      <w:r xml:space="preserve">
        <w:t> </w:t>
      </w:r>
      <w:r xml:space="preserve">
        <w:t> </w:t>
      </w:r>
      <w:r>
        <w:rPr>
          <w:u w:val="single"/>
        </w:rPr>
        <w:t xml:space="preserve">If</w:t>
      </w:r>
      <w:r>
        <w:t xml:space="preserve"> [</w:t>
      </w:r>
      <w:r>
        <w:rPr>
          <w:strike/>
        </w:rPr>
        <w:t xml:space="preserve">Except as provided by Subsection (c), if</w:t>
      </w:r>
      <w:r>
        <w:t xml:space="preserve">] an employer defendant stipulates in accordance with Subsection (a) and the trial is bifurcated under Section 72.052, a claimant may not, in the first phase of the trial, present evidence on an ordinary negligence claim against the employer defendant, such as negligent entrustment, that requires a finding by the trier of fact that the employer defendant's employee was negligent in operating a vehicle as a prerequisite to the employer defendant being found negligent in relation to the employee defendant's operation of the vehicle. </w:t>
      </w:r>
      <w:r>
        <w:t xml:space="preserve"> </w:t>
      </w:r>
      <w:r>
        <w:t xml:space="preserve">This subsection does not prevent a claimant from presenting evidence allowed by Section 72.053(b).</w:t>
      </w:r>
    </w:p>
    <w:p w:rsidR="003F3435" w:rsidRDefault="0032493E">
      <w:pPr>
        <w:spacing w:line="480" w:lineRule="auto"/>
        <w:ind w:firstLine="720"/>
        <w:jc w:val="both"/>
      </w:pPr>
      <w:r>
        <w:t xml:space="preserve">(f)</w:t>
      </w:r>
      <w:r xml:space="preserve">
        <w:t> </w:t>
      </w:r>
      <w:r xml:space="preserve">
        <w:t> </w:t>
      </w:r>
      <w:r>
        <w:t xml:space="preserve">Nothing in this section prevents a claimant from pursuing:</w:t>
      </w:r>
    </w:p>
    <w:p w:rsidR="003F3435" w:rsidRDefault="0032493E">
      <w:pPr>
        <w:spacing w:line="480" w:lineRule="auto"/>
        <w:ind w:firstLine="1440"/>
        <w:jc w:val="both"/>
      </w:pPr>
      <w:r>
        <w:t xml:space="preserve">(1)</w:t>
      </w:r>
      <w:r xml:space="preserve">
        <w:t> </w:t>
      </w:r>
      <w:r xml:space="preserve">
        <w:t> </w:t>
      </w:r>
      <w:r>
        <w:t xml:space="preserve">an ordinary negligence claim against </w:t>
      </w:r>
      <w:r>
        <w:rPr>
          <w:u w:val="single"/>
        </w:rPr>
        <w:t xml:space="preserve">a</w:t>
      </w:r>
      <w:r>
        <w:t xml:space="preserve"> [</w:t>
      </w:r>
      <w:r>
        <w:rPr>
          <w:strike/>
        </w:rPr>
        <w:t xml:space="preserve">an employer</w:t>
      </w:r>
      <w:r>
        <w:t xml:space="preserve">] defendant [</w:t>
      </w:r>
      <w:r>
        <w:rPr>
          <w:strike/>
        </w:rPr>
        <w:t xml:space="preserve">for a claim</w:t>
      </w:r>
      <w:r>
        <w:t xml:space="preserve">], such as negligent maintenance, </w:t>
      </w:r>
      <w:r>
        <w:rPr>
          <w:u w:val="single"/>
        </w:rPr>
        <w:t xml:space="preserve">negligent repair, negligent loading, or another similar claim,</w:t>
      </w:r>
      <w:r>
        <w:t xml:space="preserve"> that </w:t>
      </w:r>
      <w:r>
        <w:rPr>
          <w:u w:val="single"/>
        </w:rPr>
        <w:t xml:space="preserve">is based on the defendant's independent act of negligence that</w:t>
      </w:r>
      <w:r>
        <w:t xml:space="preserve"> does not require a finding of negligence by </w:t>
      </w:r>
      <w:r>
        <w:rPr>
          <w:u w:val="single"/>
        </w:rPr>
        <w:t xml:space="preserve">the</w:t>
      </w:r>
      <w:r>
        <w:t xml:space="preserve"> [</w:t>
      </w:r>
      <w:r>
        <w:rPr>
          <w:strike/>
        </w:rPr>
        <w:t xml:space="preserve">an</w:t>
      </w:r>
      <w:r>
        <w:t xml:space="preserve">] employee </w:t>
      </w:r>
      <w:r>
        <w:rPr>
          <w:u w:val="single"/>
        </w:rPr>
        <w:t xml:space="preserve">who was operating the defendant's commercial motor vehicle</w:t>
      </w:r>
      <w:r>
        <w:t xml:space="preserve"> as a prerequisite to </w:t>
      </w:r>
      <w:r>
        <w:rPr>
          <w:u w:val="single"/>
        </w:rPr>
        <w:t xml:space="preserve">the</w:t>
      </w:r>
      <w:r>
        <w:t xml:space="preserve"> [</w:t>
      </w:r>
      <w:r>
        <w:rPr>
          <w:strike/>
        </w:rPr>
        <w:t xml:space="preserve">an employer</w:t>
      </w:r>
      <w:r>
        <w:t xml:space="preserve">] defendant being found negligent for its conduct or omission, or from presenting evidence on that claim in the first phase of a bifurcated trial; or</w:t>
      </w:r>
    </w:p>
    <w:p w:rsidR="003F3435" w:rsidRDefault="0032493E">
      <w:pPr>
        <w:spacing w:line="480" w:lineRule="auto"/>
        <w:ind w:firstLine="1440"/>
        <w:jc w:val="both"/>
      </w:pPr>
      <w:r>
        <w:t xml:space="preserve">(2)</w:t>
      </w:r>
      <w:r xml:space="preserve">
        <w:t> </w:t>
      </w:r>
      <w:r xml:space="preserve">
        <w:t> </w:t>
      </w:r>
      <w:r>
        <w:t xml:space="preserve">a claim for exemplary damages under Chapter 41 for an employer defendant's conduct or omissions in relation to the collision that is the subject of the action, or from presenting evidence on that claim in the second phase of a bifurcated trial.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72.054(c), (d), and (e), Civil Practice and Remedies Code, are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change in law made by this Act applies only to an action:</w:t>
      </w:r>
    </w:p>
    <w:p w:rsidR="003F3435" w:rsidRDefault="0032493E">
      <w:pPr>
        <w:spacing w:line="480" w:lineRule="auto"/>
        <w:ind w:firstLine="1440"/>
        <w:jc w:val="both"/>
      </w:pPr>
      <w:r>
        <w:t xml:space="preserve">(1)</w:t>
      </w:r>
      <w:r xml:space="preserve">
        <w:t> </w:t>
      </w:r>
      <w:r xml:space="preserve">
        <w:t> </w:t>
      </w:r>
      <w:r>
        <w:t xml:space="preserve">commenced on or after the effective date of this Act; or</w:t>
      </w:r>
    </w:p>
    <w:p w:rsidR="003F3435" w:rsidRDefault="0032493E">
      <w:pPr>
        <w:spacing w:line="480" w:lineRule="auto"/>
        <w:ind w:firstLine="1440"/>
        <w:jc w:val="both"/>
      </w:pPr>
      <w:r>
        <w:t xml:space="preserve">(2)</w:t>
      </w:r>
      <w:r xml:space="preserve">
        <w:t> </w:t>
      </w:r>
      <w:r xml:space="preserve">
        <w:t> </w:t>
      </w:r>
      <w:r>
        <w:t xml:space="preserve">pending on the effective date of this Act and in which the trial, or any new trial or retrial following motion, appeal, or otherwise, begins on or after the effective date of this Act.</w:t>
      </w:r>
    </w:p>
    <w:p w:rsidR="003F3435" w:rsidRDefault="0032493E">
      <w:pPr>
        <w:spacing w:line="480" w:lineRule="auto"/>
        <w:ind w:firstLine="720"/>
        <w:jc w:val="both"/>
      </w:pPr>
      <w:r>
        <w:t xml:space="preserve">(b)</w:t>
      </w:r>
      <w:r xml:space="preserve">
        <w:t> </w:t>
      </w:r>
      <w:r xml:space="preserve">
        <w:t> </w:t>
      </w:r>
      <w:r>
        <w:t xml:space="preserve">In an action commenced before the effective date of this Act, a trial, new trial, or retrial that is in progress on the effective date of this Act is governed by the law applicable to the trial, new trial, or retrial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