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89R3699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of a commercial motor vehicle owner or operator.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"regulation or standard" includes a statute, regulation, rule, </w:t>
      </w:r>
      <w:r>
        <w:rPr>
          <w:u w:val="single"/>
        </w:rPr>
        <w:t xml:space="preserve">policy, procedure,</w:t>
      </w:r>
      <w:r>
        <w:t xml:space="preserve"> or order regulating equipment or conduct</w:t>
      </w:r>
      <w:r>
        <w:rPr>
          <w:u w:val="single"/>
        </w:rPr>
        <w:t xml:space="preserve">, including one</w:t>
      </w:r>
      <w:r>
        <w:t xml:space="preserve"> adopted or promulgated by the </w:t>
      </w:r>
      <w:r>
        <w:rPr>
          <w:u w:val="single"/>
        </w:rPr>
        <w:t xml:space="preserve">owner or operator of the motor vehicle, the</w:t>
      </w:r>
      <w:r>
        <w:t xml:space="preserve"> federal government, a state government, a local government, or a governmental agency or authority.</w:t>
      </w:r>
    </w:p>
    <w:p w:rsidR="003F3435" w:rsidRDefault="0032493E">
      <w:pPr>
        <w:spacing w:line="480" w:lineRule="auto"/>
        <w:ind w:firstLine="720"/>
        <w:jc w:val="both"/>
      </w:pPr>
      <w:r>
        <w:t xml:space="preserve">(b)</w:t>
      </w:r>
      <w:r xml:space="preserve">
        <w:t> </w:t>
      </w:r>
      <w:r xml:space="preserve">
        <w:t> </w:t>
      </w:r>
      <w:r>
        <w:t xml:space="preserve">In a civil action under this subchapter, evidence of a defendant's failure to comply with a regulation or standard is admissible in the first phase of a trial bifurcated under Section 72.052 only if </w:t>
      </w:r>
      <w:r>
        <w:rPr>
          <w:u w:val="single"/>
        </w:rPr>
        <w:t xml:space="preserve">admissible under other law and</w:t>
      </w:r>
      <w:r>
        <w:t xml:space="preserve">, in addition to complying with other requirements of law:</w:t>
      </w:r>
    </w:p>
    <w:p w:rsidR="003F3435" w:rsidRDefault="0032493E">
      <w:pPr>
        <w:spacing w:line="480" w:lineRule="auto"/>
        <w:ind w:firstLine="1440"/>
        <w:jc w:val="both"/>
      </w:pPr>
      <w:r>
        <w:t xml:space="preserve">(1)</w:t>
      </w:r>
      <w:r xml:space="preserve">
        <w:t> </w:t>
      </w:r>
      <w:r xml:space="preserve">
        <w:t> </w:t>
      </w:r>
      <w:r>
        <w:t xml:space="preserve">the evidence tends to prove that failure to comply with the regulation or standard was a proximate cause of the bodily injury or death for which damages are sought in the action; and</w:t>
      </w:r>
    </w:p>
    <w:p w:rsidR="003F3435" w:rsidRDefault="0032493E">
      <w:pPr>
        <w:spacing w:line="480" w:lineRule="auto"/>
        <w:ind w:firstLine="1440"/>
        <w:jc w:val="both"/>
      </w:pPr>
      <w:r>
        <w:t xml:space="preserve">(2)</w:t>
      </w:r>
      <w:r xml:space="preserve">
        <w:t> </w:t>
      </w:r>
      <w:r xml:space="preserve">
        <w:t> </w:t>
      </w:r>
      <w:r>
        <w:t xml:space="preserve">the regulation or standard is specific and governs, or is an element of a duty of care applicable to, the defendant, the defendant's employee, or the defendant's property or equipment when any of those is at issue in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72.054(a)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Except as provided by Subsection (d), in</w:t>
      </w:r>
      <w:r>
        <w:t xml:space="preserve">]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Subsection (c), if</w:t>
      </w:r>
      <w:r>
        <w:t xml:space="preserve">] an employer defendant stipulates in accordance with Subsection (a) and the trial is bifurcated under Section 72.052,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 </w:t>
      </w:r>
      <w:r>
        <w:t xml:space="preserve"> </w:t>
      </w:r>
      <w:r>
        <w:t xml:space="preserve">This subsection does not prevent a claimant from presenting evidence allowed by Section 72.053(b).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72.054(c), (d), and (e), Civil Practice and Remedies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