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89R28806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75</w:t>
      </w:r>
    </w:p>
    <w:p w:rsidR="003F3435" w:rsidRDefault="0032493E">
      <w:pPr>
        <w:ind w:firstLine="720"/>
        <w:jc w:val="both"/>
      </w:pPr>
      <w:r>
        <w:t xml:space="preserve">(Wilson)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75:</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C.S.S.B.</w:t>
      </w:r>
      <w:r xml:space="preserve">
        <w:t> </w:t>
      </w:r>
      <w:r>
        <w:t xml:space="preserve">No.</w:t>
      </w:r>
      <w:r xml:space="preserve">
        <w:t> </w:t>
      </w:r>
      <w:r>
        <w:t xml:space="preserve">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 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"Public utility"</w:t>
      </w:r>
      <w:r>
        <w:rPr>
          <w:u w:val="single"/>
        </w:rPr>
        <w:t xml:space="preserve"> </w:t>
      </w:r>
      <w:r>
        <w:rPr>
          <w:u w:val="single"/>
        </w:rPr>
        <w:t xml:space="preserve">means an entity that generates, transmits, or distributes electric energy to the public, including an electric utility, an electric cooperative, a municipally owned utility, and a river authority.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electric cooperatives, municipally owned utilities, and river authorities appointed by the chief of the Texas Division of Emergency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critical infrastructure of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critical infrastructure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United States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inform the security commission's recommended standards for protecting grid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critical infrastructure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infrastructure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December 1, 2026, the security commission shall prepare and deliver a report to the legislature on the security commission's recommended resilience standards, the estimated costs associated with implementing the recommended standards, the potential effects if the recommended standards are not implemented, and the anticipated timeline for implementation of the recommended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w:t>
      </w:r>
      <w:r>
        <w:rPr>
          <w:u w:val="single"/>
        </w:rPr>
        <w:t xml:space="preserve"> </w:t>
      </w:r>
      <w:r>
        <w:rPr>
          <w:u w:val="single"/>
        </w:rPr>
        <w:t xml:space="preserve">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December 1, 2026, the security commission shall prepare and deliver to the legislature a plan for protecting critical infrastructure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recommendations in addition to requirements established under Section 35.0021 necessary to prevent outages of critical infrastructure from extreme cold weather events, an analysis of whether these recommendations would induce cyber vulnerabilities, and an analysis of the associated costs for these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recommendations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critical infrastructure to meet resilience standards recommended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recommendations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recommendations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GRID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the electric grid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