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offense of failure to report child abuse or neglect by certain professionals and the statute of limitations for that offense; harmonizing other statute of limitations provisions.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 </w:t>
      </w:r>
      <w:r>
        <w:rPr>
          <w:u w:val="single"/>
        </w:rPr>
        <w:t xml:space="preserve">or</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four years from the date the offense was discovered: </w:t>
      </w:r>
      <w:r>
        <w:rPr>
          <w:u w:val="single"/>
        </w:rPr>
        <w:t xml:space="preserve"> </w:t>
      </w:r>
      <w:r>
        <w:rPr>
          <w:u w:val="single"/>
        </w:rPr>
        <w:t xml:space="preserve">failure to report child abuse or neglect if the offense is punishable as a state jail felony under Section 261.109(c), Family Code;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12.02, Code of Criminal Procedure,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w:t>
      </w:r>
      <w:r>
        <w:rPr>
          <w:u w:val="single"/>
        </w:rPr>
        <w:t xml:space="preserve">Subsections</w:t>
      </w:r>
      <w:r>
        <w:t xml:space="preserve"> </w:t>
      </w:r>
      <w:r>
        <w:t xml:space="preserve">[</w:t>
      </w:r>
      <w:r>
        <w:rPr>
          <w:strike/>
        </w:rPr>
        <w:t xml:space="preserve">Subsection</w:t>
      </w:r>
      <w:r>
        <w:t xml:space="preserve">] (b) </w:t>
      </w:r>
      <w:r>
        <w:rPr>
          <w:u w:val="single"/>
        </w:rPr>
        <w:t xml:space="preserve">and (c)</w:t>
      </w:r>
      <w:r>
        <w:t xml:space="preserve">, the following charging instruments may be presented within two years from the date of the commission of the offense, and not afterward:</w:t>
      </w:r>
    </w:p>
    <w:p w:rsidR="003F3435" w:rsidRDefault="0032493E">
      <w:pPr>
        <w:spacing w:line="480" w:lineRule="auto"/>
        <w:ind w:firstLine="1440"/>
        <w:jc w:val="both"/>
      </w:pPr>
      <w:r>
        <w:t xml:space="preserve">(1)</w:t>
      </w:r>
      <w:r xml:space="preserve">
        <w:t> </w:t>
      </w:r>
      <w:r xml:space="preserve">
        <w:t> </w:t>
      </w:r>
      <w:r>
        <w:t xml:space="preserve">an indictment or information for any Class A or Class B misdemeanor; and</w:t>
      </w:r>
    </w:p>
    <w:p w:rsidR="003F3435" w:rsidRDefault="0032493E">
      <w:pPr>
        <w:spacing w:line="480" w:lineRule="auto"/>
        <w:ind w:firstLine="1440"/>
        <w:jc w:val="both"/>
      </w:pPr>
      <w:r>
        <w:t xml:space="preserve">(2)</w:t>
      </w:r>
      <w:r xml:space="preserve">
        <w:t> </w:t>
      </w:r>
      <w:r xml:space="preserve">
        <w:t> </w:t>
      </w:r>
      <w:r>
        <w:t xml:space="preserve">a complaint or information for any Class C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indictment or information, as applicable, for failure to report child abuse or neglect may be presented within three years from the date the offense was discovered, and not afterward, if the offense is punishable as a Class A misdemeanor under Section 261.109(c),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apply to the prosecution of an offense that is punishable under Section 261.109(c), Family Code, if the prosecution of that offense becomes barred by limitation before the effective date of this Act. </w:t>
      </w:r>
      <w:r>
        <w:t xml:space="preserve">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127 passed the Senate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127 passed the House on May</w:t>
      </w:r>
      <w:r xml:space="preserve">
        <w:t> </w:t>
      </w:r>
      <w:r>
        <w:t xml:space="preserve">27,</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