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Paxton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204</w:t>
      </w:r>
    </w:p>
    <w:p w:rsidR="003F3435" w:rsidRDefault="0032493E">
      <w:pPr>
        <w:ind w:firstLine="720"/>
        <w:jc w:val="both"/>
      </w:pPr>
      <w:r>
        <w:t xml:space="preserve">(Leo Wilson, Dutton, Buckley, Gervin-Hawkins, et al.)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handbook on parental rights in education and training requirements on parental rights in education for a member of the board of trustees of a school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11.159, Education Code, is amended by adding Subsection (b-2)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Board of Education shall require a trustee to complete training on the rights of a parent regarding the education of the parent's child.  The state board, with assistance from the agency, shall develop the curriculum and materials for the training.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26, Education Code, is amended by adding Section 26.0025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26.0025.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PARENTAL RIGHTS HANDBOOK.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agency shall create and maintain a handbook that explains all rights of a parent regarding the education of the parent's child, including a student's rights that the parent may enforce on the student's behalf.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handbook must be: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written in plain language;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updated on an annual basis to reflect any relevant changes in applicable law or agency guidance;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made publicly available in a searchable format on the agency's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(a)</w:t>
      </w:r>
      <w:r xml:space="preserve">
        <w:t> </w:t>
      </w:r>
      <w:r xml:space="preserve">
        <w:t> </w:t>
      </w:r>
      <w:r>
        <w:t xml:space="preserve">Not later than January 1, 2026, the Texas Education Agency shall create the parental rights in education handbook required by Section 26.0025, Education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 later than April 1, 2026, the State Board of Education shall develop and make available the training required by Section 11.159(b-2), Education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Not later than September 1, 2026, a member of the board of trustees of a school district who takes the oath of office before January 1, 2026, shall complete the training on parental rights in education required by Section 11.159(b-2), Education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