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89R783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Paxton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handbook on parental rights in education and training requirements on parental rights in education for a member of the board of trustees of a school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11.159, Education Code, is amended by adding Subsection (b-2)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Board of Education shall require a trustee to complete training on the rights of a parent regarding the education of the parent's child.  The state board, with assistance from the agency, shall develop the curriculum and materials for the training.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26, Education Code, is amended by adding Section 26.0025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26.0025.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PARENTAL RIGHTS HANDBOOK.  (a) The agency shall create and maintain a handbook that explains all rights of a parent regarding the education of the parent's child, including a student's rights that the parent may enforce on the student's behalf.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handbook must be: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written in plain language;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updated on an annual basis to reflect any relevant changes in applicable law or agency guidance;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made publicly available in a searchable format on the agency's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(a)</w:t>
      </w:r>
      <w:r xml:space="preserve">
        <w:t> </w:t>
      </w:r>
      <w:r xml:space="preserve">
        <w:t> </w:t>
      </w:r>
      <w:r>
        <w:t xml:space="preserve">Not later than January 1, 2026: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State Board of Education shall develop and make available the training required by Section 11.159(b-2), Education Code, as added by this Act;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Texas Education Agency shall create the parental rights in education handbook required by Section 26.0025, Education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 later than April 1, 2026, a member of the board of trustees of a school district who takes the oath of office before January 1, 2026, shall complete the training on parental rights in education required by Section 11.159(b-2), Education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