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89R1342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application review process for certain delayed birth certificates.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192.025, Health and Safety Code, is amended by adding Subsections (f) and (g)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state registrar may not reject an application under this subchapter based solely on the inclusion of supporting evidence that contains inconsistent or contradictory information if, based on the contents of the application as a whole, the state registrar determines by a preponderance of the evidence the applicant's identity and place of birth.  In making a determination under this subsection, the state registrar shall consider and give weight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supporting evidence that raises a legitimate question as to the applicant's actual place of birth;</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inclusion of a valid driver's license or personal identification certificate;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inclusion of a verified affidavit by a person with personal knowledge of the applicant's identity.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if a delayed birth certificate of a person who was born before January 1, 1959, is otherwise acceptable for registration and the identity of one parent of the person is established by information not contradictory to information available to the state registrar, the state registrar shall register the certificate with only the established parent's name entered on the certificate.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