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240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biological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w:t>
      </w:r>
      <w:r>
        <w:rPr>
          <w:u w:val="single"/>
        </w:rPr>
        <w:t xml:space="preserve"> </w:t>
      </w:r>
      <w:r>
        <w:rPr>
          <w:u w:val="single"/>
        </w:rPr>
        <w:t xml:space="preserve">REGULATION OF INDIVIDUALS IN CERTAIN SPACES AND FACILITIES ACCORDING TO BIOLOGICAL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 an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 organs, chromosomes, and endogenous profiles;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original birth certificate, if the individual's biological sex is recorded on the birth certificate and the record: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entered at or near the time of birth;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been modified other than a modification to correct a scrivener or clerical error in the recorded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"Multiple-occupancy private space" means a facility designed or designated for the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an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ensure each multiple-occupancy private space in a building the political subdivision or state agency owns, operates, or controls is designated for and used only by individuals of the same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biological sex is opposite to the biological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3001.051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3001.051 to exclusive use by individuals of the biological sex opposite to the previously designated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may not provide an accommodation under Subsection (a) that allows an individual to use a multiple-occupancy private space designated for the exclusive use of individuals of the biological sex opposite to the individual's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3001.053.</w:t>
      </w:r>
      <w:r>
        <w:rPr>
          <w:u w:val="single"/>
        </w:rPr>
        <w:t xml:space="preserve"> </w:t>
      </w:r>
      <w:r>
        <w:rPr>
          <w:u w:val="single"/>
        </w:rPr>
        <w:t xml:space="preserve"> </w:t>
      </w:r>
      <w:r>
        <w:rPr>
          <w:u w:val="single"/>
        </w:rPr>
        <w:t xml:space="preserve">EXCEPTIONS.  A designation of a multiple-occupancy private space under Section 3001.051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biological sex opposite to the individual's biological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 individual who needs assistance in using the facility and provide assistance;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biological sex opposite to the child's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3001.054.</w:t>
      </w:r>
      <w:r>
        <w:rPr>
          <w:u w:val="single"/>
        </w:rPr>
        <w:t xml:space="preserve"> </w:t>
      </w:r>
      <w:r>
        <w:rPr>
          <w:u w:val="single"/>
        </w:rPr>
        <w:t xml:space="preserve"> </w:t>
      </w:r>
      <w:r>
        <w:rPr>
          <w:u w:val="single"/>
        </w:rPr>
        <w:t xml:space="preserve">HOUSING OF INMATES ACCORDING TO BIOLOGICAL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may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biological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3001.102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3001.103(c),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3001.101.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3001.105.</w:t>
      </w:r>
      <w:r>
        <w:rPr>
          <w:u w:val="single"/>
        </w:rPr>
        <w:t xml:space="preserve"> </w:t>
      </w:r>
      <w:r>
        <w:rPr>
          <w:u w:val="single"/>
        </w:rPr>
        <w:t xml:space="preserve"> </w:t>
      </w:r>
      <w:r>
        <w:rPr>
          <w:u w:val="single"/>
        </w:rPr>
        <w:t xml:space="preserve">PRIVATE CIVIL CAUSE OF ACTION.  A person affected by a political subdivision's or state agency's alleged violation of this chapter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3001.104 or 3001.105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to the extent of liability created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3001.107.</w:t>
      </w:r>
      <w:r>
        <w:rPr>
          <w:u w:val="single"/>
        </w:rPr>
        <w:t xml:space="preserve"> </w:t>
      </w:r>
      <w:r>
        <w:rPr>
          <w:u w:val="single"/>
        </w:rPr>
        <w:t xml:space="preserve"> </w:t>
      </w:r>
      <w:r>
        <w:rPr>
          <w:u w:val="single"/>
        </w:rPr>
        <w:t xml:space="preserve">APPLICABILITY OF IMMUNITY.  Notwithstanding any other law, the immunity conferred by Section 3001.106 applies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conferred by Section 3001.106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conferred by Section 3001.106 or take an action that would result in a waiver of that immunity. </w:t>
      </w:r>
      <w:r>
        <w:rPr>
          <w:u w:val="single"/>
        </w:rPr>
        <w:t xml:space="preserve"> </w:t>
      </w:r>
      <w:r>
        <w:rPr>
          <w:u w:val="single"/>
        </w:rPr>
        <w:t xml:space="preserve">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a person, including this state, a political subdivision, and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biological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3001,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part of this Act is declared invalid, that declaration does not affect the validity of the remaining parts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