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268</w:t>
      </w:r>
    </w:p>
    <w:p w:rsidR="003F3435" w:rsidRDefault="0032493E">
      <w:pPr>
        <w:ind w:firstLine="720"/>
        <w:jc w:val="both"/>
      </w:pPr>
      <w:r>
        <w:t xml:space="preserve">(Howard)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certain complaints against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COMPLAINT REFERRALS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COMPLAINTS AGAINST HEALTH CARE PRACTITIONER LICENSED BY DIFFERENT LICENSING ENTITY.  (a)  Notwithstanding any other law, a licensing entity that receives a complaint concerning a health care practitioner who holds a license issued by a different licensing entity shall promptly forward a copy of the complaint to that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may not take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a licensing entity from taking disciplinary action against a health care practitioner licensed by that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complaint filed against a health care practitioner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